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spacing w:after="0"/>
      </w:pPr>
      <w:r>
        <w:rPr>
          <w:rFonts w:ascii="Calibri" w:hAnsi="Calibri" w:cs="Calibri" w:eastAsia="Calibri"/>
          <w:b/>
          <w:color w:val="1F2933"/>
          <w:sz w:val="60"/>
        </w:rPr>
        <w:t>Appel d’offres</w:t>
      </w:r>
    </w:p>
    <w:p>
      <w:pPr>
        <w:spacing w:after="280"/>
      </w:pPr>
      <w:r>
        <w:rPr>
          <w:rFonts w:ascii="Calibri" w:hAnsi="Calibri" w:cs="Calibri" w:eastAsia="Calibri"/>
          <w:b/>
          <w:color w:val="154CE4"/>
          <w:sz w:val="60"/>
        </w:rPr>
        <w:t>informatique</w:t>
      </w:r>
    </w:p>
    <w:p>
      <w:pPr>
        <w:spacing w:after="320"/>
        <w:pBdr>
          <w:bottom w:val="single" w:sz="12" w:space="2" w:color="154CE4"/>
        </w:pBdr>
      </w:pPr>
    </w:p>
    <w:p>
      <w:pPr>
        <w:spacing w:after="80"/>
      </w:pPr>
      <w:r>
        <w:rPr>
          <w:rFonts w:ascii="Calibri" w:hAnsi="Calibri" w:cs="Calibri" w:eastAsia="Calibri"/>
          <w:b/>
          <w:caps/>
          <w:color w:val="5A6472"/>
          <w:sz w:val="26"/>
          <w:spacing w:val="60"/>
        </w:rPr>
        <w:t>Modèle à compléter</w:t>
      </w:r>
    </w:p>
    <w:p>
      <w:pPr>
        <w:spacing w:after="720"/>
      </w:pPr>
      <w:r>
        <w:rPr>
          <w:rFonts w:ascii="Calibri" w:hAnsi="Calibri" w:cs="Calibri" w:eastAsia="Calibri"/>
          <w:color w:val="5A6472"/>
          <w:sz w:val="22"/>
        </w:rPr>
        <w:t>Dix sections à remplir pour consulter plusieurs prestataires sur un même dossier et comparer leurs réponses sur une grille annoncée à l’avance.</w:t>
      </w:r>
    </w:p>
    <w:tbl>
      <w:tblPr>
        <w:jc w:val="left"/>
        <w:tblLayout w:type="fixed"/>
        <w:tblLook w:firstColumn="1" w:firstRow="1" w:lastColumn="0" w:lastRow="0" w:noHBand="0" w:noVBand="1" w:val="04A0"/>
        <w:tblLayout w:type="fixed"/>
        <w:tblW w:type="dxa" w:w="9639"/>
      </w:tblPr>
      <w:tblGrid>
        <w:gridCol w:w="3969"/>
        <w:gridCol w:w="5670"/>
      </w:tblGrid>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Objet de la consultation</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[à compléter]</w:t>
            </w:r>
          </w:p>
        </w:tc>
      </w:tr>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Organisation</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[à compléter]</w:t>
            </w:r>
          </w:p>
        </w:tc>
      </w:tr>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Référent de la consultation</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[nom, e-mail, téléphone]</w:t>
            </w:r>
          </w:p>
        </w:tc>
      </w:tr>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Date limite de réponse</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[à compléter]</w:t>
            </w:r>
          </w:p>
        </w:tc>
      </w:tr>
      <w:tr>
        <w:trPr>
          <w:cantSplit/>
        </w:trPr>
        <w:tc>
          <w:tcPr>
            <w:tcW w:type="dxa" w:w="39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b/>
                <w:color w:val="1F2933"/>
                <w:sz w:val="20"/>
              </w:rPr>
              <w:t>Version du dossier</w:t>
            </w:r>
          </w:p>
        </w:tc>
        <w:tc>
          <w:tcPr>
            <w:tcW w:type="dxa" w:w="5669"/>
            <w:tcBorders>
              <w:top w:val="nil" w:sz="0" w:space="0" w:color="auto"/>
              <w:left w:val="nil" w:sz="0" w:space="0" w:color="auto"/>
              <w:bottom w:val="single" w:sz="4" w:space="0" w:color="DDE1E6"/>
              <w:right w:val="nil" w:sz="0" w:space="0" w:color="auto"/>
            </w:tcBorders>
            <w:tcMar>
              <w:top w:w="120" w:type="dxa"/>
              <w:start w:w="0" w:type="dxa"/>
              <w:bottom w:w="120" w:type="dxa"/>
              <w:end w:w="100" w:type="dxa"/>
            </w:tcMar>
          </w:tcPr>
          <w:p>
            <w:pPr>
              <w:spacing w:after="0"/>
            </w:pPr>
            <w:r>
              <w:rPr>
                <w:rFonts w:ascii="Calibri" w:hAnsi="Calibri" w:cs="Calibri" w:eastAsia="Calibri"/>
                <w:i/>
                <w:color w:val="7A828E"/>
                <w:sz w:val="20"/>
              </w:rPr>
              <w:t>[à compléter]</w:t>
            </w:r>
          </w:p>
        </w:tc>
      </w:tr>
    </w:tbl>
    <w:p>
      <w:pPr>
        <w:spacing w:after="0"/>
      </w:pPr>
    </w:p>
    <w:p>
      <w:pPr>
        <w:spacing w:after="0"/>
      </w:pPr>
    </w:p>
    <w:p>
      <w:pPr>
        <w:spacing w:after="0"/>
      </w:pPr>
    </w:p>
    <w:p>
      <w:pPr>
        <w:spacing w:after="0"/>
      </w:pPr>
    </w:p>
    <w:p>
      <w:pPr>
        <w:spacing w:after="0"/>
      </w:pPr>
    </w:p>
    <w:p>
      <w:pPr>
        <w:spacing w:after="0"/>
        <w:pBdr>
          <w:bottom w:val="single" w:sz="4" w:space="4" w:color="DDE1E6"/>
        </w:pBdr>
      </w:pPr>
    </w:p>
    <w:p>
      <w:pPr>
        <w:spacing w:before="120"/>
      </w:pPr>
      <w:r>
        <w:rPr>
          <w:rFonts w:ascii="Calibri" w:hAnsi="Calibri" w:cs="Calibri" w:eastAsia="Calibri"/>
          <w:b/>
          <w:color w:val="5A6472"/>
          <w:sz w:val="19"/>
        </w:rPr>
        <w:t>Document fourni par agencedeveloppementweb.net</w:t>
      </w:r>
    </w:p>
    <w:p>
      <w:r>
        <w:rPr>
          <w:rFonts w:ascii="Calibri" w:hAnsi="Calibri" w:cs="Calibri" w:eastAsia="Calibri"/>
          <w:color w:val="7A828E"/>
          <w:sz w:val="18"/>
        </w:rPr>
        <w:t>Modèle libre d’usage pour préparer votre projet et consulter des prestataires. Aucune donnée n’est transmise à un tiers.</w:t>
      </w:r>
    </w:p>
    <w:p>
      <w:r>
        <w:br w:type="page"/>
      </w:r>
    </w:p>
    <w:p>
      <w:pPr>
        <w:spacing w:after="80"/>
        <w:pBdr>
          <w:bottom w:val="single" w:sz="6" w:space="4" w:color="DCE4F9"/>
        </w:pBdr>
      </w:pPr>
      <w:r>
        <w:rPr>
          <w:rFonts w:ascii="Calibri" w:hAnsi="Calibri" w:cs="Calibri" w:eastAsia="Calibri"/>
          <w:b/>
          <w:color w:val="154CE4"/>
          <w:sz w:val="30"/>
        </w:rPr>
        <w:t>Sommaire</w:t>
      </w:r>
    </w:p>
    <w:p>
      <w:pPr>
        <w:pStyle w:val="NoteADW"/>
      </w:pPr>
      <w:r>
        <w:rPr>
          <w:rFonts w:ascii="Calibri" w:hAnsi="Calibri" w:cs="Calibri" w:eastAsia="Calibri"/>
          <w:i/>
          <w:color w:val="7A828E"/>
          <w:sz w:val="18"/>
        </w:rPr>
        <w:t>Le sommaire se met à jour tout seul. Si les titres n’apparaissent pas, cliquez dedans avec le bouton droit puis choisissez « Mettre à jour les champs ».</w:t>
      </w:r>
    </w:p>
    <w:p>
      <w:r>
        <w:fldChar w:fldCharType="begin"/>
      </w:r>
      <w:r>
        <w:instrText xml:space="preserve"> TOC \o "1-2" \h \z \u </w:instrText>
      </w:r>
      <w:r>
        <w:fldChar w:fldCharType="separate"/>
      </w:r>
      <w:r>
        <w:t>Sommaire à mettre à jour : clic droit sur cette ligne, puis « Mettre à jour les champs ».</w:t>
      </w:r>
      <w:r>
        <w:fldChar w:fldCharType="end"/>
      </w:r>
    </w:p>
    <w:p>
      <w:r>
        <w:br w:type="page"/>
      </w:r>
    </w:p>
    <w:p>
      <w:pPr>
        <w:pStyle w:val="Heading1"/>
      </w:pPr>
      <w:r>
        <w:t>Comment utiliser ce modèle</w:t>
      </w:r>
    </w:p>
    <w:p>
      <w:pPr>
        <w:spacing w:after="120"/>
      </w:pPr>
      <w:r>
        <w:rPr>
          <w:rFonts w:ascii="Calibri" w:hAnsi="Calibri" w:cs="Calibri" w:eastAsia="Calibri"/>
          <w:color w:val="1F2933"/>
          <w:sz w:val="21"/>
        </w:rPr>
        <w:t>Un appel d’offres informatique n’est pas un cahier des charges avec une date limite. C’est un dossier qui ajoute trois choses au cahier des charges : les règles du jeu de la consultation, les critères sur lesquels les réponses seront notées, et le format de réponse imposé. Sans ces trois éléments, vous recevez des propositions incomparables et vous arbitrez à l’impression.</w:t>
      </w:r>
    </w:p>
    <w:p>
      <w:pPr>
        <w:spacing w:after="100"/>
        <w:ind w:left="397" w:hanging="397"/>
      </w:pPr>
      <w:r>
        <w:rPr>
          <w:rFonts w:ascii="Calibri" w:hAnsi="Calibri" w:cs="Calibri" w:eastAsia="Calibri"/>
          <w:b/>
          <w:color w:val="154CE4"/>
          <w:sz w:val="21"/>
        </w:rPr>
        <w:t xml:space="preserve">1.  </w:t>
      </w:r>
      <w:r>
        <w:rPr>
          <w:rFonts w:ascii="Calibri" w:hAnsi="Calibri" w:cs="Calibri" w:eastAsia="Calibri"/>
          <w:b/>
          <w:color w:val="1F2933"/>
          <w:sz w:val="21"/>
        </w:rPr>
        <w:t xml:space="preserve">Écrivez les critères avant de recevoir les offres. </w:t>
      </w:r>
      <w:r>
        <w:rPr>
          <w:rFonts w:ascii="Calibri" w:hAnsi="Calibri" w:cs="Calibri" w:eastAsia="Calibri"/>
          <w:color w:val="1F2933"/>
          <w:sz w:val="21"/>
        </w:rPr>
        <w:t>Section 8. Après réception, le devis le moins cher ou la plus belle présentation auront déjà orienté la discussion. Publiez-les aux candidats : une consultation dont les critères sont connus reçoit des réponses mieux ciblées.</w:t>
      </w:r>
    </w:p>
    <w:p>
      <w:pPr>
        <w:spacing w:after="100"/>
        <w:ind w:left="397" w:hanging="397"/>
      </w:pPr>
      <w:r>
        <w:rPr>
          <w:rFonts w:ascii="Calibri" w:hAnsi="Calibri" w:cs="Calibri" w:eastAsia="Calibri"/>
          <w:b/>
          <w:color w:val="154CE4"/>
          <w:sz w:val="21"/>
        </w:rPr>
        <w:t xml:space="preserve">2.  </w:t>
      </w:r>
      <w:r>
        <w:rPr>
          <w:rFonts w:ascii="Calibri" w:hAnsi="Calibri" w:cs="Calibri" w:eastAsia="Calibri"/>
          <w:b/>
          <w:color w:val="1F2933"/>
          <w:sz w:val="21"/>
        </w:rPr>
        <w:t xml:space="preserve">Imposez un format de réponse. </w:t>
      </w:r>
      <w:r>
        <w:rPr>
          <w:rFonts w:ascii="Calibri" w:hAnsi="Calibri" w:cs="Calibri" w:eastAsia="Calibri"/>
          <w:color w:val="1F2933"/>
          <w:sz w:val="21"/>
        </w:rPr>
        <w:t>Section 9. Même trame de budget, même plan de mémoire, même nombre de pages maximum. C’est la seule façon simple de comparer poste par poste.</w:t>
      </w:r>
    </w:p>
    <w:p>
      <w:pPr>
        <w:spacing w:after="100"/>
        <w:ind w:left="397" w:hanging="397"/>
      </w:pPr>
      <w:r>
        <w:rPr>
          <w:rFonts w:ascii="Calibri" w:hAnsi="Calibri" w:cs="Calibri" w:eastAsia="Calibri"/>
          <w:b/>
          <w:color w:val="154CE4"/>
          <w:sz w:val="21"/>
        </w:rPr>
        <w:t xml:space="preserve">3.  </w:t>
      </w:r>
      <w:r>
        <w:rPr>
          <w:rFonts w:ascii="Calibri" w:hAnsi="Calibri" w:cs="Calibri" w:eastAsia="Calibri"/>
          <w:b/>
          <w:color w:val="1F2933"/>
          <w:sz w:val="21"/>
        </w:rPr>
        <w:t xml:space="preserve">Consultez trois à six structures. </w:t>
      </w:r>
      <w:r>
        <w:rPr>
          <w:rFonts w:ascii="Calibri" w:hAnsi="Calibri" w:cs="Calibri" w:eastAsia="Calibri"/>
          <w:color w:val="1F2933"/>
          <w:sz w:val="21"/>
        </w:rPr>
        <w:t>Une seule ne donne aucun point de comparaison. Au-delà de six, le dépouillement coûte plus cher que ce qu’il rapporte.</w:t>
      </w:r>
    </w:p>
    <w:p>
      <w:pPr>
        <w:spacing w:after="100"/>
        <w:ind w:left="397" w:hanging="397"/>
      </w:pPr>
      <w:r>
        <w:rPr>
          <w:rFonts w:ascii="Calibri" w:hAnsi="Calibri" w:cs="Calibri" w:eastAsia="Calibri"/>
          <w:b/>
          <w:color w:val="154CE4"/>
          <w:sz w:val="21"/>
        </w:rPr>
        <w:t xml:space="preserve">4.  </w:t>
      </w:r>
      <w:r>
        <w:rPr>
          <w:rFonts w:ascii="Calibri" w:hAnsi="Calibri" w:cs="Calibri" w:eastAsia="Calibri"/>
          <w:b/>
          <w:color w:val="1F2933"/>
          <w:sz w:val="21"/>
        </w:rPr>
        <w:t xml:space="preserve">Donnez deux à quatre semaines. </w:t>
      </w:r>
      <w:r>
        <w:rPr>
          <w:rFonts w:ascii="Calibri" w:hAnsi="Calibri" w:cs="Calibri" w:eastAsia="Calibri"/>
          <w:color w:val="1F2933"/>
          <w:sz w:val="21"/>
        </w:rPr>
        <w:t>Un délai plus court fabrique des réponses copiées-collées. Le temps que vous donnez aux candidats, vous l’achetez en qualité d’analyse.</w:t>
      </w:r>
    </w:p>
    <w:p>
      <w:pPr>
        <w:spacing w:after="100"/>
        <w:ind w:left="397" w:hanging="397"/>
      </w:pPr>
      <w:r>
        <w:rPr>
          <w:rFonts w:ascii="Calibri" w:hAnsi="Calibri" w:cs="Calibri" w:eastAsia="Calibri"/>
          <w:b/>
          <w:color w:val="154CE4"/>
          <w:sz w:val="21"/>
        </w:rPr>
        <w:t xml:space="preserve">5.  </w:t>
      </w:r>
      <w:r>
        <w:rPr>
          <w:rFonts w:ascii="Calibri" w:hAnsi="Calibri" w:cs="Calibri" w:eastAsia="Calibri"/>
          <w:b/>
          <w:color w:val="1F2933"/>
          <w:sz w:val="21"/>
        </w:rPr>
        <w:t xml:space="preserve">Ouvrez une phase de questions. </w:t>
      </w:r>
      <w:r>
        <w:rPr>
          <w:rFonts w:ascii="Calibri" w:hAnsi="Calibri" w:cs="Calibri" w:eastAsia="Calibri"/>
          <w:color w:val="1F2933"/>
          <w:sz w:val="21"/>
        </w:rPr>
        <w:t>Section 10. Les questions posées pendant la consultation sont le meilleur prédicteur de la qualité du projet. Diffusez les réponses à tous les candidats, le même jour.</w:t>
      </w:r>
    </w:p>
    <w:p>
      <w:pPr>
        <w:spacing w:after="100"/>
        <w:ind w:left="397" w:hanging="397"/>
      </w:pPr>
      <w:r>
        <w:rPr>
          <w:rFonts w:ascii="Calibri" w:hAnsi="Calibri" w:cs="Calibri" w:eastAsia="Calibri"/>
          <w:b/>
          <w:color w:val="154CE4"/>
          <w:sz w:val="21"/>
        </w:rPr>
        <w:t xml:space="preserve">6.  </w:t>
      </w:r>
      <w:r>
        <w:rPr>
          <w:rFonts w:ascii="Calibri" w:hAnsi="Calibri" w:cs="Calibri" w:eastAsia="Calibri"/>
          <w:b/>
          <w:color w:val="1F2933"/>
          <w:sz w:val="21"/>
        </w:rPr>
        <w:t xml:space="preserve">Joignez le cahier des charges et la grille de dépouillement. </w:t>
      </w:r>
      <w:r>
        <w:rPr>
          <w:rFonts w:ascii="Calibri" w:hAnsi="Calibri" w:cs="Calibri" w:eastAsia="Calibri"/>
          <w:color w:val="1F2933"/>
          <w:sz w:val="21"/>
        </w:rPr>
        <w:t>La trame décrit la consultation, le cahier des charges décrit le besoin. Les deux partent ensemble, avec la grille de budget vide.</w:t>
      </w:r>
    </w:p>
    <w:p>
      <w:pPr>
        <w:spacing w:after="120"/>
      </w:pPr>
      <w:r>
        <w:rPr>
          <w:rFonts w:ascii="Calibri" w:hAnsi="Calibri" w:cs="Calibri" w:eastAsia="Calibri"/>
          <w:color w:val="1F2933"/>
          <w:sz w:val="21"/>
        </w:rPr>
      </w:r>
    </w:p>
    <w:p>
      <w:pPr>
        <w:pStyle w:val="NoteADW"/>
      </w:pPr>
      <w:r>
        <w:rPr>
          <w:rFonts w:ascii="Calibri" w:hAnsi="Calibri" w:cs="Calibri" w:eastAsia="Calibri"/>
          <w:i/>
          <w:color w:val="7A828E"/>
          <w:sz w:val="18"/>
        </w:rPr>
        <w:t>La consultation « Groupe Ferrière » utilisée dans les exemples est entièrement fictive, organisation comprise. Elle sert uniquement à montrer le niveau de détail attendu.</w:t>
      </w:r>
    </w:p>
    <w:p>
      <w:r>
        <w:br w:type="page"/>
      </w:r>
    </w:p>
    <w:p>
      <w:pPr>
        <w:pStyle w:val="Heading1"/>
      </w:pPr>
      <w:r>
        <w:t>1. Objet de la consultation</w:t>
      </w:r>
    </w:p>
    <w:p>
      <w:pPr>
        <w:pStyle w:val="EtiquetteADW"/>
      </w:pPr>
      <w:r>
        <w:t>Ce qu’on attend ici</w:t>
      </w:r>
    </w:p>
    <w:p>
      <w:pPr>
        <w:spacing w:after="120"/>
      </w:pPr>
      <w:r>
        <w:rPr>
          <w:rFonts w:ascii="Calibri" w:hAnsi="Calibri" w:cs="Calibri" w:eastAsia="Calibri"/>
          <w:color w:val="1F2933"/>
          <w:sz w:val="21"/>
        </w:rPr>
        <w:t>Deux paragraphes, pas davantage. Le premier dit ce que vous achetez : une prestation de conception et de développement, une refonte, une reprise d’existant, un forfait ou une assistance. Le second dit ce que vous n’achetez pas dans cette consultation, ce qui évite de recevoir des propositions d’hébergement quand vous cherchez du développement.</w:t>
      </w:r>
    </w:p>
    <w:p>
      <w:pPr>
        <w:spacing w:after="120"/>
      </w:pPr>
      <w:r>
        <w:rPr>
          <w:rFonts w:ascii="Calibri" w:hAnsi="Calibri" w:cs="Calibri" w:eastAsia="Calibri"/>
          <w:color w:val="1F2933"/>
          <w:sz w:val="21"/>
        </w:rPr>
        <w:t>Précisez la nature du marché : forfait sur périmètre défini, ou dispositif en régie avec une équipe dédiée. Les deux se répondent très différemment, et un candidat qui se trompe sur ce point vous fait perdre une réponse utile.</w:t>
      </w:r>
    </w:p>
    <w:p>
      <w:pPr>
        <w:pStyle w:val="EtiquetteADW"/>
      </w:pPr>
      <w:r>
        <w:t>Les points à couvrir</w:t>
      </w:r>
    </w:p>
    <w:p>
      <w:pPr>
        <w:pStyle w:val="ListBullet"/>
      </w:pPr>
      <w:r>
        <w:rPr>
          <w:rFonts w:ascii="Calibri" w:hAnsi="Calibri" w:cs="Calibri" w:eastAsia="Calibri"/>
          <w:color w:val="1F2933"/>
          <w:sz w:val="21"/>
        </w:rPr>
        <w:t>La prestation attendue, en une phrase compréhensible hors du service informatique.</w:t>
      </w:r>
    </w:p>
    <w:p>
      <w:pPr>
        <w:pStyle w:val="ListBullet"/>
      </w:pPr>
      <w:r>
        <w:rPr>
          <w:rFonts w:ascii="Calibri" w:hAnsi="Calibri" w:cs="Calibri" w:eastAsia="Calibri"/>
          <w:color w:val="1F2933"/>
          <w:sz w:val="21"/>
        </w:rPr>
        <w:t>La nature du marché : forfait ou régie, et pourquoi.</w:t>
      </w:r>
    </w:p>
    <w:p>
      <w:pPr>
        <w:pStyle w:val="ListBullet"/>
      </w:pPr>
      <w:r>
        <w:rPr>
          <w:rFonts w:ascii="Calibri" w:hAnsi="Calibri" w:cs="Calibri" w:eastAsia="Calibri"/>
          <w:color w:val="1F2933"/>
          <w:sz w:val="21"/>
        </w:rPr>
        <w:t>Ce qui n’entre pas dans cette consultation.</w:t>
      </w:r>
    </w:p>
    <w:p>
      <w:pPr>
        <w:pStyle w:val="ListBullet"/>
      </w:pPr>
      <w:r>
        <w:rPr>
          <w:rFonts w:ascii="Calibri" w:hAnsi="Calibri" w:cs="Calibri" w:eastAsia="Calibri"/>
          <w:color w:val="1F2933"/>
          <w:sz w:val="21"/>
        </w:rPr>
        <w:t>La durée prévisionnelle de la prestation et de la maintenance associée.</w:t>
      </w:r>
    </w:p>
    <w:p>
      <w:pPr>
        <w:pStyle w:val="ListBullet"/>
      </w:pPr>
      <w:r>
        <w:rPr>
          <w:rFonts w:ascii="Calibri" w:hAnsi="Calibri" w:cs="Calibri" w:eastAsia="Calibri"/>
          <w:color w:val="1F2933"/>
          <w:sz w:val="21"/>
        </w:rPr>
        <w:t>Le nombre de structures consultées, annoncé aux candidats.</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consultation fictive « Groupe Ferrière »</w:t>
            </w:r>
          </w:p>
          <w:p>
            <w:pPr>
              <w:spacing w:after="60" w:line="264" w:lineRule="auto"/>
            </w:pPr>
            <w:r>
              <w:rPr>
                <w:rFonts w:ascii="Calibri" w:hAnsi="Calibri" w:cs="Calibri" w:eastAsia="Calibri"/>
                <w:color w:val="1F2933"/>
                <w:sz w:val="20"/>
              </w:rPr>
              <w:t>Objet : conception et développement d’un portail fournisseurs, au forfait, sur périmètre défini au cahier des charges joint.</w:t>
            </w:r>
          </w:p>
          <w:p>
            <w:pPr>
              <w:spacing w:after="60" w:line="264" w:lineRule="auto"/>
            </w:pPr>
            <w:r>
              <w:rPr>
                <w:rFonts w:ascii="Calibri" w:hAnsi="Calibri" w:cs="Calibri" w:eastAsia="Calibri"/>
                <w:color w:val="1F2933"/>
                <w:sz w:val="20"/>
              </w:rPr>
              <w:t>Hors consultation : l’hébergement, fourni par la direction informatique du groupe, et la reprise des données, traitée en interne.</w:t>
            </w:r>
          </w:p>
          <w:p>
            <w:pPr>
              <w:spacing w:after="60" w:line="264" w:lineRule="auto"/>
            </w:pPr>
            <w:r>
              <w:rPr>
                <w:rFonts w:ascii="Calibri" w:hAnsi="Calibri" w:cs="Calibri" w:eastAsia="Calibri"/>
                <w:color w:val="1F2933"/>
                <w:sz w:val="20"/>
              </w:rPr>
              <w:t>Durée : neuf mois de fabrication, puis un contrat de maintenance de trois ans renouvelable, chiffré séparément.</w:t>
            </w:r>
          </w:p>
          <w:p>
            <w:pPr>
              <w:spacing w:after="60" w:line="264" w:lineRule="auto"/>
            </w:pPr>
            <w:r>
              <w:rPr>
                <w:rFonts w:ascii="Calibri" w:hAnsi="Calibri" w:cs="Calibri" w:eastAsia="Calibri"/>
                <w:color w:val="1F2933"/>
                <w:sz w:val="20"/>
              </w:rPr>
              <w:t>Quatre structures sont consultées. Le nombre est annoncé à chacune.</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2. Présentation de l’organisation</w:t>
      </w:r>
    </w:p>
    <w:p>
      <w:pPr>
        <w:pStyle w:val="EtiquetteADW"/>
      </w:pPr>
      <w:r>
        <w:t>Ce qu’on attend ici</w:t>
      </w:r>
    </w:p>
    <w:p>
      <w:pPr>
        <w:spacing w:after="120"/>
      </w:pPr>
      <w:r>
        <w:rPr>
          <w:rFonts w:ascii="Calibri" w:hAnsi="Calibri" w:cs="Calibri" w:eastAsia="Calibri"/>
          <w:color w:val="1F2933"/>
          <w:sz w:val="21"/>
        </w:rPr>
        <w:t>Un prestataire chiffre différemment selon qu’il travaillera avec une équipe de trois personnes ou avec sept directions à faire valider. Décrivez la taille, l’activité, l’organisation du projet côté client et le nombre de valideurs. C’est une information de coût, pas une plaquette.</w:t>
      </w:r>
    </w:p>
    <w:p>
      <w:pPr>
        <w:spacing w:after="120"/>
      </w:pPr>
      <w:r>
        <w:rPr>
          <w:rFonts w:ascii="Calibri" w:hAnsi="Calibri" w:cs="Calibri" w:eastAsia="Calibri"/>
          <w:color w:val="1F2933"/>
          <w:sz w:val="21"/>
        </w:rPr>
        <w:t>Indiquez aussi votre maturité numérique sans la surévaluer. Une organisation qui n’a jamais mené de projet web le dit, et reçoit des propositions qui incluent l’accompagnement au changement plutôt que des propositions qui le supposent acquis.</w:t>
      </w:r>
    </w:p>
    <w:p>
      <w:pPr>
        <w:pStyle w:val="EtiquetteADW"/>
      </w:pPr>
      <w:r>
        <w:t>Les points à couvrir</w:t>
      </w:r>
    </w:p>
    <w:p>
      <w:pPr>
        <w:pStyle w:val="ListBullet"/>
      </w:pPr>
      <w:r>
        <w:rPr>
          <w:rFonts w:ascii="Calibri" w:hAnsi="Calibri" w:cs="Calibri" w:eastAsia="Calibri"/>
          <w:color w:val="1F2933"/>
          <w:sz w:val="21"/>
        </w:rPr>
        <w:t>Activité, taille, implantations, nombre d’utilisateurs concernés.</w:t>
      </w:r>
    </w:p>
    <w:p>
      <w:pPr>
        <w:pStyle w:val="ListBullet"/>
      </w:pPr>
      <w:r>
        <w:rPr>
          <w:rFonts w:ascii="Calibri" w:hAnsi="Calibri" w:cs="Calibri" w:eastAsia="Calibri"/>
          <w:color w:val="1F2933"/>
          <w:sz w:val="21"/>
        </w:rPr>
        <w:t>L’équipe projet côté client, avec le temps réellement disponible de chacun.</w:t>
      </w:r>
    </w:p>
    <w:p>
      <w:pPr>
        <w:pStyle w:val="ListBullet"/>
      </w:pPr>
      <w:r>
        <w:rPr>
          <w:rFonts w:ascii="Calibri" w:hAnsi="Calibri" w:cs="Calibri" w:eastAsia="Calibri"/>
          <w:color w:val="1F2933"/>
          <w:sz w:val="21"/>
        </w:rPr>
        <w:t>Le nombre de valideurs et le délai constaté d’une validation.</w:t>
      </w:r>
    </w:p>
    <w:p>
      <w:pPr>
        <w:pStyle w:val="ListBullet"/>
      </w:pPr>
      <w:r>
        <w:rPr>
          <w:rFonts w:ascii="Calibri" w:hAnsi="Calibri" w:cs="Calibri" w:eastAsia="Calibri"/>
          <w:color w:val="1F2933"/>
          <w:sz w:val="21"/>
        </w:rPr>
        <w:t>Les projets numériques déjà menés, réussis ou non.</w:t>
      </w:r>
    </w:p>
    <w:p>
      <w:pPr>
        <w:pStyle w:val="ListBullet"/>
      </w:pPr>
      <w:r>
        <w:rPr>
          <w:rFonts w:ascii="Calibri" w:hAnsi="Calibri" w:cs="Calibri" w:eastAsia="Calibri"/>
          <w:color w:val="1F2933"/>
          <w:sz w:val="21"/>
        </w:rPr>
        <w:t>La direction qui porte le budget.</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consultation fictive « Groupe Ferrière »</w:t>
            </w:r>
          </w:p>
          <w:p>
            <w:pPr>
              <w:spacing w:after="60" w:line="264" w:lineRule="auto"/>
            </w:pPr>
            <w:r>
              <w:rPr>
                <w:rFonts w:ascii="Calibri" w:hAnsi="Calibri" w:cs="Calibri" w:eastAsia="Calibri"/>
                <w:color w:val="1F2933"/>
                <w:sz w:val="20"/>
              </w:rPr>
              <w:t>Groupe Ferrière : ETI industrielle, 600 salariés, quatre sites en France, 380 fournisseurs actifs.</w:t>
            </w:r>
          </w:p>
          <w:p>
            <w:pPr>
              <w:spacing w:after="60" w:line="264" w:lineRule="auto"/>
            </w:pPr>
            <w:r>
              <w:rPr>
                <w:rFonts w:ascii="Calibri" w:hAnsi="Calibri" w:cs="Calibri" w:eastAsia="Calibri"/>
                <w:color w:val="1F2933"/>
                <w:sz w:val="20"/>
              </w:rPr>
              <w:t>Équipe projet : une chef de projet à mi-temps réel, un référent achats à un jour par semaine, un référent informatique à une demi-journée.</w:t>
            </w:r>
          </w:p>
          <w:p>
            <w:pPr>
              <w:spacing w:after="60" w:line="264" w:lineRule="auto"/>
            </w:pPr>
            <w:r>
              <w:rPr>
                <w:rFonts w:ascii="Calibri" w:hAnsi="Calibri" w:cs="Calibri" w:eastAsia="Calibri"/>
                <w:color w:val="1F2933"/>
                <w:sz w:val="20"/>
              </w:rPr>
              <w:t>Validation : deux valideurs, délai constaté de sept jours ouvrés.</w:t>
            </w:r>
          </w:p>
          <w:p>
            <w:pPr>
              <w:spacing w:after="60" w:line="264" w:lineRule="auto"/>
            </w:pPr>
            <w:r>
              <w:rPr>
                <w:rFonts w:ascii="Calibri" w:hAnsi="Calibri" w:cs="Calibri" w:eastAsia="Calibri"/>
                <w:color w:val="1F2933"/>
                <w:sz w:val="20"/>
              </w:rPr>
              <w:t>Antécédent : une tentative de portail en 2023, arrêtée faute de reprise des référentiels fournisseurs. Le dossier en tient compte.</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3. Contexte et besoin</w:t>
      </w:r>
    </w:p>
    <w:p>
      <w:pPr>
        <w:pStyle w:val="EtiquetteADW"/>
      </w:pPr>
      <w:r>
        <w:t>Ce qu’on attend ici</w:t>
      </w:r>
    </w:p>
    <w:p>
      <w:pPr>
        <w:spacing w:after="120"/>
      </w:pPr>
      <w:r>
        <w:rPr>
          <w:rFonts w:ascii="Calibri" w:hAnsi="Calibri" w:cs="Calibri" w:eastAsia="Calibri"/>
          <w:color w:val="1F2933"/>
          <w:sz w:val="21"/>
        </w:rPr>
        <w:t>Cette section renvoie au cahier des charges joint plutôt que de le répéter. Elle en donne le résumé en une page : le problème mesuré, les objectifs chiffrés, les populations d’utilisateurs et les parcours prioritaires. Un candidat doit pouvoir décider en dix minutes s’il répond.</w:t>
      </w:r>
    </w:p>
    <w:p>
      <w:pPr>
        <w:spacing w:after="120"/>
      </w:pPr>
      <w:r>
        <w:rPr>
          <w:rFonts w:ascii="Calibri" w:hAnsi="Calibri" w:cs="Calibri" w:eastAsia="Calibri"/>
          <w:color w:val="1F2933"/>
          <w:sz w:val="21"/>
        </w:rPr>
        <w:t>Ajoutez ce qui ne figure jamais dans un cahier des charges et qui compte autant : ce qui a déjà échoué, ce qui est politiquement sensible dans l’organisation, et ce qui est non négociable. Un prestataire prévenu propose une méthode adaptée ; un prestataire surpris propose un avenant.</w:t>
      </w:r>
    </w:p>
    <w:p>
      <w:pPr>
        <w:pStyle w:val="EtiquetteADW"/>
      </w:pPr>
      <w:r>
        <w:t>Les points à couvrir</w:t>
      </w:r>
    </w:p>
    <w:p>
      <w:pPr>
        <w:pStyle w:val="ListBullet"/>
      </w:pPr>
      <w:r>
        <w:rPr>
          <w:rFonts w:ascii="Calibri" w:hAnsi="Calibri" w:cs="Calibri" w:eastAsia="Calibri"/>
          <w:color w:val="1F2933"/>
          <w:sz w:val="21"/>
        </w:rPr>
        <w:t>Le problème mesuré, avec au moins un chiffre et sa source interne.</w:t>
      </w:r>
    </w:p>
    <w:p>
      <w:pPr>
        <w:pStyle w:val="ListBullet"/>
      </w:pPr>
      <w:r>
        <w:rPr>
          <w:rFonts w:ascii="Calibri" w:hAnsi="Calibri" w:cs="Calibri" w:eastAsia="Calibri"/>
          <w:color w:val="1F2933"/>
          <w:sz w:val="21"/>
        </w:rPr>
        <w:t>Les trois à cinq objectifs chiffrés et datés.</w:t>
      </w:r>
    </w:p>
    <w:p>
      <w:pPr>
        <w:pStyle w:val="ListBullet"/>
      </w:pPr>
      <w:r>
        <w:rPr>
          <w:rFonts w:ascii="Calibri" w:hAnsi="Calibri" w:cs="Calibri" w:eastAsia="Calibri"/>
          <w:color w:val="1F2933"/>
          <w:sz w:val="21"/>
        </w:rPr>
        <w:t>Les populations d’utilisateurs et leur volume.</w:t>
      </w:r>
    </w:p>
    <w:p>
      <w:pPr>
        <w:pStyle w:val="ListBullet"/>
      </w:pPr>
      <w:r>
        <w:rPr>
          <w:rFonts w:ascii="Calibri" w:hAnsi="Calibri" w:cs="Calibri" w:eastAsia="Calibri"/>
          <w:color w:val="1F2933"/>
          <w:sz w:val="21"/>
        </w:rPr>
        <w:t>Les parcours prioritaires, renvoyés au cahier des charges pour le détail.</w:t>
      </w:r>
    </w:p>
    <w:p>
      <w:pPr>
        <w:pStyle w:val="ListBullet"/>
      </w:pPr>
      <w:r>
        <w:rPr>
          <w:rFonts w:ascii="Calibri" w:hAnsi="Calibri" w:cs="Calibri" w:eastAsia="Calibri"/>
          <w:color w:val="1F2933"/>
          <w:sz w:val="21"/>
        </w:rPr>
        <w:t>Ce qui a déjà été tenté et pourquoi cela n’a pas abouti.</w:t>
      </w:r>
    </w:p>
    <w:p>
      <w:pPr>
        <w:pStyle w:val="ListBullet"/>
      </w:pPr>
      <w:r>
        <w:rPr>
          <w:rFonts w:ascii="Calibri" w:hAnsi="Calibri" w:cs="Calibri" w:eastAsia="Calibri"/>
          <w:color w:val="1F2933"/>
          <w:sz w:val="21"/>
        </w:rPr>
        <w:t>Les points non négociables, écrits comme tels.</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consultation fictive « Groupe Ferrière »</w:t>
            </w:r>
          </w:p>
          <w:p>
            <w:pPr>
              <w:spacing w:after="60" w:line="264" w:lineRule="auto"/>
            </w:pPr>
            <w:r>
              <w:rPr>
                <w:rFonts w:ascii="Calibri" w:hAnsi="Calibri" w:cs="Calibri" w:eastAsia="Calibri"/>
                <w:color w:val="1F2933"/>
                <w:sz w:val="20"/>
              </w:rPr>
              <w:t>Problème : 2 400 factures fournisseurs par mois arrivent par courriel et sont ressaisies. Relevé du service comptabilité, premier trimestre.</w:t>
            </w:r>
          </w:p>
          <w:p>
            <w:pPr>
              <w:spacing w:after="60" w:line="264" w:lineRule="auto"/>
            </w:pPr>
            <w:r>
              <w:rPr>
                <w:rFonts w:ascii="Calibri" w:hAnsi="Calibri" w:cs="Calibri" w:eastAsia="Calibri"/>
                <w:color w:val="1F2933"/>
                <w:sz w:val="20"/>
              </w:rPr>
              <w:t>Objectif : 70 % des factures déposées par les fournisseurs eux-mêmes à douze mois. Mesure : compteur du portail.</w:t>
            </w:r>
          </w:p>
          <w:p>
            <w:pPr>
              <w:spacing w:after="60" w:line="264" w:lineRule="auto"/>
            </w:pPr>
            <w:r>
              <w:rPr>
                <w:rFonts w:ascii="Calibri" w:hAnsi="Calibri" w:cs="Calibri" w:eastAsia="Calibri"/>
                <w:color w:val="1F2933"/>
                <w:sz w:val="20"/>
              </w:rPr>
              <w:t>Non négociable : l’outil de gestion reste la référence des référentiels fournisseurs. Le portail ne crée jamais un fournisseur.</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4. Périmètre de la consultation</w:t>
      </w:r>
    </w:p>
    <w:p>
      <w:pPr>
        <w:pStyle w:val="EtiquetteADW"/>
      </w:pPr>
      <w:r>
        <w:t>Ce qu’on attend ici</w:t>
      </w:r>
    </w:p>
    <w:p>
      <w:pPr>
        <w:spacing w:after="120"/>
      </w:pPr>
      <w:r>
        <w:rPr>
          <w:rFonts w:ascii="Calibri" w:hAnsi="Calibri" w:cs="Calibri" w:eastAsia="Calibri"/>
          <w:color w:val="1F2933"/>
          <w:sz w:val="21"/>
        </w:rPr>
        <w:t>Découpez la prestation en lots si les compétences attendues sont différentes : conception et design d’un côté, développement de l’autre, reprise de données encore ailleurs. Un lot unique favorise les structures généralistes, des lots séparés ouvrent aux spécialistes mais vous laissent la coordination. Dites lequel vous choisissez et pourquoi.</w:t>
      </w:r>
    </w:p>
    <w:p>
      <w:pPr>
        <w:spacing w:after="120"/>
      </w:pPr>
      <w:r>
        <w:rPr>
          <w:rFonts w:ascii="Calibri" w:hAnsi="Calibri" w:cs="Calibri" w:eastAsia="Calibri"/>
          <w:color w:val="1F2933"/>
          <w:sz w:val="21"/>
        </w:rPr>
        <w:t>Précisez ce qui est ferme et ce qui est optionnel. Une tranche optionnelle chiffrée séparément vous donne une visibilité budgétaire sans vous engager, et elle évite la renégociation six mois plus tard.</w:t>
      </w:r>
    </w:p>
    <w:p>
      <w:pPr>
        <w:pStyle w:val="EtiquetteADW"/>
      </w:pPr>
      <w:r>
        <w:t>Les points à couvrir</w:t>
      </w:r>
    </w:p>
    <w:p>
      <w:pPr>
        <w:pStyle w:val="ListBullet"/>
      </w:pPr>
      <w:r>
        <w:rPr>
          <w:rFonts w:ascii="Calibri" w:hAnsi="Calibri" w:cs="Calibri" w:eastAsia="Calibri"/>
          <w:color w:val="1F2933"/>
          <w:sz w:val="21"/>
        </w:rPr>
        <w:t>Les lots, s’il y en a, et la possibilité ou non de répondre à un seul.</w:t>
      </w:r>
    </w:p>
    <w:p>
      <w:pPr>
        <w:pStyle w:val="ListBullet"/>
      </w:pPr>
      <w:r>
        <w:rPr>
          <w:rFonts w:ascii="Calibri" w:hAnsi="Calibri" w:cs="Calibri" w:eastAsia="Calibri"/>
          <w:color w:val="1F2933"/>
          <w:sz w:val="21"/>
        </w:rPr>
        <w:t>La partie ferme et les tranches optionnelles, chiffrées séparément.</w:t>
      </w:r>
    </w:p>
    <w:p>
      <w:pPr>
        <w:pStyle w:val="ListBullet"/>
      </w:pPr>
      <w:r>
        <w:rPr>
          <w:rFonts w:ascii="Calibri" w:hAnsi="Calibri" w:cs="Calibri" w:eastAsia="Calibri"/>
          <w:color w:val="1F2933"/>
          <w:sz w:val="21"/>
        </w:rPr>
        <w:t>Les livrables attendus, lot par lot.</w:t>
      </w:r>
    </w:p>
    <w:p>
      <w:pPr>
        <w:pStyle w:val="ListBullet"/>
      </w:pPr>
      <w:r>
        <w:rPr>
          <w:rFonts w:ascii="Calibri" w:hAnsi="Calibri" w:cs="Calibri" w:eastAsia="Calibri"/>
          <w:color w:val="1F2933"/>
          <w:sz w:val="21"/>
        </w:rPr>
        <w:t>Ce qui reste à la charge de votre organisation.</w:t>
      </w:r>
    </w:p>
    <w:p>
      <w:pPr>
        <w:pStyle w:val="ListBullet"/>
      </w:pPr>
      <w:r>
        <w:rPr>
          <w:rFonts w:ascii="Calibri" w:hAnsi="Calibri" w:cs="Calibri" w:eastAsia="Calibri"/>
          <w:color w:val="1F2933"/>
          <w:sz w:val="21"/>
        </w:rPr>
        <w:t>Les prestations récurrentes : maintenance, hébergement, assistance.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consultation fictive « Groupe Ferrière »</w:t>
            </w:r>
          </w:p>
          <w:p>
            <w:pPr>
              <w:spacing w:after="60" w:line="264" w:lineRule="auto"/>
            </w:pPr>
            <w:r>
              <w:rPr>
                <w:rFonts w:ascii="Calibri" w:hAnsi="Calibri" w:cs="Calibri" w:eastAsia="Calibri"/>
                <w:color w:val="1F2933"/>
                <w:sz w:val="20"/>
              </w:rPr>
              <w:t>Lot unique : conception, développement, tests et mise en production. La coordination d’un découpage en lots dépasse la capacité de l’équipe projet.</w:t>
            </w:r>
          </w:p>
          <w:p>
            <w:pPr>
              <w:spacing w:after="60" w:line="264" w:lineRule="auto"/>
            </w:pPr>
            <w:r>
              <w:rPr>
                <w:rFonts w:ascii="Calibri" w:hAnsi="Calibri" w:cs="Calibri" w:eastAsia="Calibri"/>
                <w:color w:val="1F2933"/>
                <w:sz w:val="20"/>
              </w:rPr>
              <w:t>Partie ferme : dépôt de facture, suivi de statut, annuaire fournisseurs. Tranche optionnelle chiffrée à part : signature électronique des contrats.</w:t>
            </w:r>
          </w:p>
          <w:p>
            <w:pPr>
              <w:spacing w:after="60" w:line="264" w:lineRule="auto"/>
            </w:pPr>
            <w:r>
              <w:rPr>
                <w:rFonts w:ascii="Calibri" w:hAnsi="Calibri" w:cs="Calibri" w:eastAsia="Calibri"/>
                <w:color w:val="1F2933"/>
                <w:sz w:val="20"/>
              </w:rPr>
              <w:t>À notre charge : la rédaction des contenus d’aide et la formation des fournisseurs.</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5. Exigences techniques et d’intégration</w:t>
      </w:r>
    </w:p>
    <w:p>
      <w:pPr>
        <w:pStyle w:val="EtiquetteADW"/>
      </w:pPr>
      <w:r>
        <w:t>Ce qu’on attend ici</w:t>
      </w:r>
    </w:p>
    <w:p>
      <w:pPr>
        <w:spacing w:after="120"/>
      </w:pPr>
      <w:r>
        <w:rPr>
          <w:rFonts w:ascii="Calibri" w:hAnsi="Calibri" w:cs="Calibri" w:eastAsia="Calibri"/>
          <w:color w:val="1F2933"/>
          <w:sz w:val="21"/>
        </w:rPr>
        <w:t>Distinguez les contraintes imposées des préférences. Un annuaire d’entreprise auquel il faut se raccorder est une contrainte. Un langage de programmation choisi parce qu’un collègue en a entendu parler est une préférence, et elle coûte cher : elle écarte des réponses parfois nettement meilleures.</w:t>
      </w:r>
    </w:p>
    <w:p>
      <w:pPr>
        <w:spacing w:after="120"/>
      </w:pPr>
      <w:r>
        <w:rPr>
          <w:rFonts w:ascii="Calibri" w:hAnsi="Calibri" w:cs="Calibri" w:eastAsia="Calibri"/>
          <w:color w:val="1F2933"/>
          <w:sz w:val="21"/>
        </w:rPr>
        <w:t>Décrivez chaque flux de données séparément, avec cinq informations : quelle donnée, dans quel sens, à quelle fréquence, par quel moyen, et quel système fait foi en cas de désaccord. C’est le poste qui dérape le plus, et le seul dont l’écart de chiffrage entre deux candidats peut atteindre un rapport de dix.</w:t>
      </w:r>
    </w:p>
    <w:p>
      <w:pPr>
        <w:pStyle w:val="EtiquetteADW"/>
      </w:pPr>
      <w:r>
        <w:t>Les points à couvrir</w:t>
      </w:r>
    </w:p>
    <w:p>
      <w:pPr>
        <w:pStyle w:val="ListBullet"/>
      </w:pPr>
      <w:r>
        <w:rPr>
          <w:rFonts w:ascii="Calibri" w:hAnsi="Calibri" w:cs="Calibri" w:eastAsia="Calibri"/>
          <w:color w:val="1F2933"/>
          <w:sz w:val="21"/>
        </w:rPr>
        <w:t>Les contraintes imposées : hébergement, annuaire, sécurité, socle existant.</w:t>
      </w:r>
    </w:p>
    <w:p>
      <w:pPr>
        <w:pStyle w:val="ListBullet"/>
      </w:pPr>
      <w:r>
        <w:rPr>
          <w:rFonts w:ascii="Calibri" w:hAnsi="Calibri" w:cs="Calibri" w:eastAsia="Calibri"/>
          <w:color w:val="1F2933"/>
          <w:sz w:val="21"/>
        </w:rPr>
        <w:t>Chaque flux : donnée, sens, fréquence, moyen, système qui fait foi.</w:t>
      </w:r>
    </w:p>
    <w:p>
      <w:pPr>
        <w:pStyle w:val="ListBullet"/>
      </w:pPr>
      <w:r>
        <w:rPr>
          <w:rFonts w:ascii="Calibri" w:hAnsi="Calibri" w:cs="Calibri" w:eastAsia="Calibri"/>
          <w:color w:val="1F2933"/>
          <w:sz w:val="21"/>
        </w:rPr>
        <w:t>L’existence d’une interface de programmation documentée, et son coût.</w:t>
      </w:r>
    </w:p>
    <w:p>
      <w:pPr>
        <w:pStyle w:val="ListBullet"/>
      </w:pPr>
      <w:r>
        <w:rPr>
          <w:rFonts w:ascii="Calibri" w:hAnsi="Calibri" w:cs="Calibri" w:eastAsia="Calibri"/>
          <w:color w:val="1F2933"/>
          <w:sz w:val="21"/>
        </w:rPr>
        <w:t>Les volumes de données actuels et leur évolution prévisible.</w:t>
      </w:r>
    </w:p>
    <w:p>
      <w:pPr>
        <w:pStyle w:val="ListBullet"/>
      </w:pPr>
      <w:r>
        <w:rPr>
          <w:rFonts w:ascii="Calibri" w:hAnsi="Calibri" w:cs="Calibri" w:eastAsia="Calibri"/>
          <w:color w:val="1F2933"/>
          <w:sz w:val="21"/>
        </w:rPr>
        <w:t>Les environnements attendus et qui les finance.</w:t>
      </w:r>
    </w:p>
    <w:p>
      <w:pPr>
        <w:pStyle w:val="ListBullet"/>
      </w:pPr>
      <w:r>
        <w:rPr>
          <w:rFonts w:ascii="Calibri" w:hAnsi="Calibri" w:cs="Calibri" w:eastAsia="Calibri"/>
          <w:color w:val="1F2933"/>
          <w:sz w:val="21"/>
        </w:rPr>
        <w:t>Ce qui est laissé à la recommandation du candidat, dit explicitement.</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consultation fictive « Groupe Ferrière »</w:t>
            </w:r>
          </w:p>
          <w:p>
            <w:pPr>
              <w:spacing w:after="60" w:line="264" w:lineRule="auto"/>
            </w:pPr>
            <w:r>
              <w:rPr>
                <w:rFonts w:ascii="Calibri" w:hAnsi="Calibri" w:cs="Calibri" w:eastAsia="Calibri"/>
                <w:color w:val="1F2933"/>
                <w:sz w:val="20"/>
              </w:rPr>
              <w:t>Imposé : hébergement en France sur l’infrastructure du groupe, authentification des salariés par l’annuaire d’entreprise existant.</w:t>
            </w:r>
          </w:p>
          <w:p>
            <w:pPr>
              <w:spacing w:after="60" w:line="264" w:lineRule="auto"/>
            </w:pPr>
            <w:r>
              <w:rPr>
                <w:rFonts w:ascii="Calibri" w:hAnsi="Calibri" w:cs="Calibri" w:eastAsia="Calibri"/>
                <w:color w:val="1F2933"/>
                <w:sz w:val="20"/>
              </w:rPr>
              <w:t>Flux 1, référentiel fournisseurs : de l’outil de gestion vers le portail, toutes les nuits. L’outil de gestion fait foi, sans exception.</w:t>
            </w:r>
          </w:p>
          <w:p>
            <w:pPr>
              <w:spacing w:after="60" w:line="264" w:lineRule="auto"/>
            </w:pPr>
            <w:r>
              <w:rPr>
                <w:rFonts w:ascii="Calibri" w:hAnsi="Calibri" w:cs="Calibri" w:eastAsia="Calibri"/>
                <w:color w:val="1F2933"/>
                <w:sz w:val="20"/>
              </w:rPr>
              <w:t>Flux 2, factures déposées : du portail vers l’outil de gestion, à chaque dépôt. Si l’outil ne répond pas, la facture est mise en attente et la comptabilité est prévenue.</w:t>
            </w:r>
          </w:p>
          <w:p>
            <w:pPr>
              <w:spacing w:after="60" w:line="264" w:lineRule="auto"/>
            </w:pPr>
            <w:r>
              <w:rPr>
                <w:rFonts w:ascii="Calibri" w:hAnsi="Calibri" w:cs="Calibri" w:eastAsia="Calibri"/>
                <w:color w:val="1F2933"/>
                <w:sz w:val="20"/>
              </w:rPr>
              <w:t>Laissé au candidat : le socle technique du portail et l’outil de suivi des anomalies.</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6. Conformité et accessibilité</w:t>
      </w:r>
    </w:p>
    <w:p>
      <w:pPr>
        <w:pStyle w:val="EtiquetteADW"/>
      </w:pPr>
      <w:r>
        <w:t>Ce qu’on attend ici</w:t>
      </w:r>
    </w:p>
    <w:p>
      <w:pPr>
        <w:spacing w:after="120"/>
      </w:pPr>
      <w:r>
        <w:rPr>
          <w:rFonts w:ascii="Calibri" w:hAnsi="Calibri" w:cs="Calibri" w:eastAsia="Calibri"/>
          <w:color w:val="1F2933"/>
          <w:sz w:val="21"/>
        </w:rPr>
        <w:t>Demandez des références précises et vérifiables, pas des logos en bas de page. Sur les données personnelles, exigez le registre des traitements du candidat, son contrat de sous-traitance type et la liste de ses propres sous-traitants, hébergement compris. Sur la sécurité, demandez comment sont gérés les secrets, les accès et les sauvegardes, et qui a déjà audité leur code.</w:t>
      </w:r>
    </w:p>
    <w:p>
      <w:pPr>
        <w:spacing w:after="120"/>
      </w:pPr>
      <w:r>
        <w:rPr>
          <w:rFonts w:ascii="Calibri" w:hAnsi="Calibri" w:cs="Calibri" w:eastAsia="Calibri"/>
          <w:color w:val="1F2933"/>
          <w:sz w:val="21"/>
        </w:rPr>
        <w:t>Sur l’accessibilité, écrivez le niveau visé au regard du référentiel général d’amélioration de l’accessibilité, dites qui teste et à quel moment du projet. La directive européenne relative à l’accessibilité, applicable depuis juin 2025 à de nombreux services, a étendu l’obligation au-delà du secteur public : vérifiez si votre activité entre dans son champ avant de rédiger cette section.</w:t>
      </w:r>
    </w:p>
    <w:p>
      <w:pPr>
        <w:pStyle w:val="EtiquetteADW"/>
      </w:pPr>
      <w:r>
        <w:t>Les points à couvrir</w:t>
      </w:r>
    </w:p>
    <w:p>
      <w:pPr>
        <w:pStyle w:val="ListBullet"/>
      </w:pPr>
      <w:r>
        <w:rPr>
          <w:rFonts w:ascii="Calibri" w:hAnsi="Calibri" w:cs="Calibri" w:eastAsia="Calibri"/>
          <w:color w:val="1F2933"/>
          <w:sz w:val="21"/>
        </w:rPr>
        <w:t>Données personnelles : registre, contrat de sous-traitance, sous-traitants ultérieurs.</w:t>
      </w:r>
    </w:p>
    <w:p>
      <w:pPr>
        <w:pStyle w:val="ListBullet"/>
      </w:pPr>
      <w:r>
        <w:rPr>
          <w:rFonts w:ascii="Calibri" w:hAnsi="Calibri" w:cs="Calibri" w:eastAsia="Calibri"/>
          <w:color w:val="1F2933"/>
          <w:sz w:val="21"/>
        </w:rPr>
        <w:t>Sécurité : gestion des secrets, des accès, des sauvegardes, audits passés.</w:t>
      </w:r>
    </w:p>
    <w:p>
      <w:pPr>
        <w:pStyle w:val="ListBullet"/>
      </w:pPr>
      <w:r>
        <w:rPr>
          <w:rFonts w:ascii="Calibri" w:hAnsi="Calibri" w:cs="Calibri" w:eastAsia="Calibri"/>
          <w:color w:val="1F2933"/>
          <w:sz w:val="21"/>
        </w:rPr>
        <w:t>Accessibilité : niveau visé, qui teste, à quel moment, et ce qui est livré comme preuve.</w:t>
      </w:r>
    </w:p>
    <w:p>
      <w:pPr>
        <w:pStyle w:val="ListBullet"/>
      </w:pPr>
      <w:r>
        <w:rPr>
          <w:rFonts w:ascii="Calibri" w:hAnsi="Calibri" w:cs="Calibri" w:eastAsia="Calibri"/>
          <w:color w:val="1F2933"/>
          <w:sz w:val="21"/>
        </w:rPr>
        <w:t>Réversibilité : propriété du code, restitution des données, plan de sortie.</w:t>
      </w:r>
    </w:p>
    <w:p>
      <w:pPr>
        <w:pStyle w:val="ListBullet"/>
      </w:pPr>
      <w:r>
        <w:rPr>
          <w:rFonts w:ascii="Calibri" w:hAnsi="Calibri" w:cs="Calibri" w:eastAsia="Calibri"/>
          <w:color w:val="1F2933"/>
          <w:sz w:val="21"/>
        </w:rPr>
        <w:t>Assurance professionnelle du candidat et sous-traitance déclarée.</w:t>
      </w:r>
    </w:p>
    <w:p>
      <w:pPr>
        <w:pStyle w:val="ListBullet"/>
      </w:pPr>
      <w:r>
        <w:rPr>
          <w:rFonts w:ascii="Calibri" w:hAnsi="Calibri" w:cs="Calibri" w:eastAsia="Calibri"/>
          <w:color w:val="1F2933"/>
          <w:sz w:val="21"/>
        </w:rPr>
        <w:t>Les preuves attendues à la réponse, listées une à une.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consultation fictive « Groupe Ferrière »</w:t>
            </w:r>
          </w:p>
          <w:p>
            <w:pPr>
              <w:spacing w:after="60" w:line="264" w:lineRule="auto"/>
            </w:pPr>
            <w:r>
              <w:rPr>
                <w:rFonts w:ascii="Calibri" w:hAnsi="Calibri" w:cs="Calibri" w:eastAsia="Calibri"/>
                <w:color w:val="1F2933"/>
                <w:sz w:val="20"/>
              </w:rPr>
              <w:t>Attendu à la réponse : le contrat de sous-traitance type, la liste des sous-traitants ultérieurs, et une référence de projet équivalent avec le nom d’un contact joignable.</w:t>
            </w:r>
          </w:p>
          <w:p>
            <w:pPr>
              <w:spacing w:after="60" w:line="264" w:lineRule="auto"/>
            </w:pPr>
            <w:r>
              <w:rPr>
                <w:rFonts w:ascii="Calibri" w:hAnsi="Calibri" w:cs="Calibri" w:eastAsia="Calibri"/>
                <w:color w:val="1F2933"/>
                <w:sz w:val="20"/>
              </w:rPr>
              <w:t>Accessibilité : conformité visée au RGAA sur les cinq parcours principaux, testée par le candidat avant la validation, rapport de test livré.</w:t>
            </w:r>
          </w:p>
          <w:p>
            <w:pPr>
              <w:spacing w:after="60" w:line="264" w:lineRule="auto"/>
            </w:pPr>
            <w:r>
              <w:rPr>
                <w:rFonts w:ascii="Calibri" w:hAnsi="Calibri" w:cs="Calibri" w:eastAsia="Calibri"/>
                <w:color w:val="1F2933"/>
                <w:sz w:val="20"/>
              </w:rPr>
              <w:t>Réversibilité : archive complète du code et de la base fournie une fois par an sans frais, avec la procédure d’installation.</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7. Cadre contractuel et budget</w:t>
      </w:r>
    </w:p>
    <w:p>
      <w:pPr>
        <w:pStyle w:val="EtiquetteADW"/>
      </w:pPr>
      <w:r>
        <w:t>Ce qu’on attend ici</w:t>
      </w:r>
    </w:p>
    <w:p>
      <w:pPr>
        <w:spacing w:after="120"/>
      </w:pPr>
      <w:r>
        <w:rPr>
          <w:rFonts w:ascii="Calibri" w:hAnsi="Calibri" w:cs="Calibri" w:eastAsia="Calibri"/>
          <w:color w:val="1F2933"/>
          <w:sz w:val="21"/>
        </w:rPr>
        <w:t>Annoncez votre enveloppe. Un dossier sans budget fait chiffrer plusieurs scénarios dont la plupart seront jetés, allonge la consultation d’un mois et ne fait pas baisser les prix. Pour situer un projet web, les fourchettes que ce guide publie, en euros hors taxes sur le marché français du sur-mesure : site vitrine professionnel sous 10 000 €, site sur mesure de 10 000 à 40 000 €, plateforme web de 40 000 à 120 000 €, projet complexe au-delà, avec une maintenance annuelle de 10 à 20 % du coût de fabrication.</w:t>
      </w:r>
    </w:p>
    <w:p>
      <w:pPr>
        <w:spacing w:after="120"/>
      </w:pPr>
      <w:r>
        <w:rPr>
          <w:rFonts w:ascii="Calibri" w:hAnsi="Calibri" w:cs="Calibri" w:eastAsia="Calibri"/>
          <w:color w:val="1F2933"/>
          <w:sz w:val="21"/>
        </w:rPr>
        <w:t>Précisez le rythme de facturation, les conditions de réception, les pénalités éventuelles et la durée d’engagement de la maintenance. Un candidat qui découvre ces conditions après avoir été retenu les renégocie, et vous avez perdu votre position.</w:t>
      </w:r>
    </w:p>
    <w:p>
      <w:pPr>
        <w:pStyle w:val="EtiquetteADW"/>
      </w:pPr>
      <w:r>
        <w:t>Les points à couvrir</w:t>
      </w:r>
    </w:p>
    <w:p>
      <w:pPr>
        <w:pStyle w:val="ListBullet"/>
      </w:pPr>
      <w:r>
        <w:rPr>
          <w:rFonts w:ascii="Calibri" w:hAnsi="Calibri" w:cs="Calibri" w:eastAsia="Calibri"/>
          <w:color w:val="1F2933"/>
          <w:sz w:val="21"/>
        </w:rPr>
        <w:t>L’enveloppe, en fourchette hors taxes, et ce qu’elle couvre.</w:t>
      </w:r>
    </w:p>
    <w:p>
      <w:pPr>
        <w:pStyle w:val="ListBullet"/>
      </w:pPr>
      <w:r>
        <w:rPr>
          <w:rFonts w:ascii="Calibri" w:hAnsi="Calibri" w:cs="Calibri" w:eastAsia="Calibri"/>
          <w:color w:val="1F2933"/>
          <w:sz w:val="21"/>
        </w:rPr>
        <w:t>Le rythme de facturation et les conditions de paiement.</w:t>
      </w:r>
    </w:p>
    <w:p>
      <w:pPr>
        <w:pStyle w:val="ListBullet"/>
      </w:pPr>
      <w:r>
        <w:rPr>
          <w:rFonts w:ascii="Calibri" w:hAnsi="Calibri" w:cs="Calibri" w:eastAsia="Calibri"/>
          <w:color w:val="1F2933"/>
          <w:sz w:val="21"/>
        </w:rPr>
        <w:t>La propriété des développements spécifiques et des composants tiers.</w:t>
      </w:r>
    </w:p>
    <w:p>
      <w:pPr>
        <w:pStyle w:val="ListBullet"/>
      </w:pPr>
      <w:r>
        <w:rPr>
          <w:rFonts w:ascii="Calibri" w:hAnsi="Calibri" w:cs="Calibri" w:eastAsia="Calibri"/>
          <w:color w:val="1F2933"/>
          <w:sz w:val="21"/>
        </w:rPr>
        <w:t>La durée d’engagement de la maintenance et son mode de révision.</w:t>
      </w:r>
    </w:p>
    <w:p>
      <w:pPr>
        <w:pStyle w:val="ListBullet"/>
      </w:pPr>
      <w:r>
        <w:rPr>
          <w:rFonts w:ascii="Calibri" w:hAnsi="Calibri" w:cs="Calibri" w:eastAsia="Calibri"/>
          <w:color w:val="1F2933"/>
          <w:sz w:val="21"/>
        </w:rPr>
        <w:t>Les pénalités éventuelles, si vous en prévoyez, et leur déclencheur.</w:t>
      </w:r>
    </w:p>
    <w:p>
      <w:pPr>
        <w:pStyle w:val="ListBullet"/>
      </w:pPr>
      <w:r>
        <w:rPr>
          <w:rFonts w:ascii="Calibri" w:hAnsi="Calibri" w:cs="Calibri" w:eastAsia="Calibri"/>
          <w:color w:val="1F2933"/>
          <w:sz w:val="21"/>
        </w:rPr>
        <w:t>La durée de validité des offres attendue.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consultation fictive « Groupe Ferrière »</w:t>
            </w:r>
          </w:p>
          <w:p>
            <w:pPr>
              <w:spacing w:after="60" w:line="264" w:lineRule="auto"/>
            </w:pPr>
            <w:r>
              <w:rPr>
                <w:rFonts w:ascii="Calibri" w:hAnsi="Calibri" w:cs="Calibri" w:eastAsia="Calibri"/>
                <w:color w:val="1F2933"/>
                <w:sz w:val="20"/>
              </w:rPr>
              <w:t>Enveloppe annoncée : 80 000 à 110 000 € HT pour la fabrication, hors tranche optionnelle. Maintenance chiffrée séparément, engagement de trois ans.</w:t>
            </w:r>
          </w:p>
          <w:p>
            <w:pPr>
              <w:spacing w:after="60" w:line="264" w:lineRule="auto"/>
            </w:pPr>
            <w:r>
              <w:rPr>
                <w:rFonts w:ascii="Calibri" w:hAnsi="Calibri" w:cs="Calibri" w:eastAsia="Calibri"/>
                <w:color w:val="1F2933"/>
                <w:sz w:val="20"/>
              </w:rPr>
              <w:t>Facturation : 30 % à la commande, puis par jalon validé.</w:t>
            </w:r>
          </w:p>
          <w:p>
            <w:pPr>
              <w:spacing w:after="60" w:line="264" w:lineRule="auto"/>
            </w:pPr>
            <w:r>
              <w:rPr>
                <w:rFonts w:ascii="Calibri" w:hAnsi="Calibri" w:cs="Calibri" w:eastAsia="Calibri"/>
                <w:color w:val="1F2933"/>
                <w:sz w:val="20"/>
              </w:rPr>
              <w:t>Propriété : cession des droits sur les développements spécifiques à la livraison, après paiement intégral.</w:t>
            </w:r>
          </w:p>
          <w:p>
            <w:pPr>
              <w:spacing w:after="60" w:line="264" w:lineRule="auto"/>
            </w:pPr>
            <w:r>
              <w:rPr>
                <w:rFonts w:ascii="Calibri" w:hAnsi="Calibri" w:cs="Calibri" w:eastAsia="Calibri"/>
                <w:color w:val="1F2933"/>
                <w:sz w:val="20"/>
              </w:rPr>
              <w:t>Validité des offres attendue : quatre-vingt-dix jours.</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8. Critères de notation, publiés aux candidats</w:t>
      </w:r>
    </w:p>
    <w:p>
      <w:pPr>
        <w:pStyle w:val="EtiquetteADW"/>
      </w:pPr>
      <w:r>
        <w:t>Ce qu’on attend ici</w:t>
      </w:r>
    </w:p>
    <w:p>
      <w:pPr>
        <w:spacing w:after="120"/>
      </w:pPr>
      <w:r>
        <w:rPr>
          <w:rFonts w:ascii="Calibri" w:hAnsi="Calibri" w:cs="Calibri" w:eastAsia="Calibri"/>
          <w:color w:val="1F2933"/>
          <w:sz w:val="21"/>
        </w:rPr>
        <w:t>Écrivez vos critères et leur pondération avant de recevoir la moindre offre, et publiez-les dans le dossier. Une consultation dont les critères sont connus reçoit des réponses mieux ciblées, et le dépouillement se fait sur une grille plutôt que sur une impression.</w:t>
      </w:r>
    </w:p>
    <w:p>
      <w:pPr>
        <w:spacing w:after="120"/>
      </w:pPr>
      <w:r>
        <w:rPr>
          <w:rFonts w:ascii="Calibri" w:hAnsi="Calibri" w:cs="Calibri" w:eastAsia="Calibri"/>
          <w:color w:val="1F2933"/>
          <w:sz w:val="21"/>
        </w:rPr>
        <w:t>Une pondération qui fonctionne pour un projet web met le prix autour de 20 à 30 points, jamais plus. Au-delà, vous sélectionnez le candidat qui a le plus réduit son périmètre, et vous le paierez en avenants. Les points restants vont à la compréhension du besoin, à la méthode, aux références vérifiables et à l’équipe réellement affectée.</w:t>
      </w:r>
    </w:p>
    <w:p>
      <w:pPr>
        <w:pStyle w:val="EtiquetteADW"/>
      </w:pPr>
      <w:r>
        <w:t>Les points à couvrir</w:t>
      </w:r>
    </w:p>
    <w:p>
      <w:pPr>
        <w:pStyle w:val="ListBullet"/>
      </w:pPr>
      <w:r>
        <w:rPr>
          <w:rFonts w:ascii="Calibri" w:hAnsi="Calibri" w:cs="Calibri" w:eastAsia="Calibri"/>
          <w:color w:val="1F2933"/>
          <w:sz w:val="21"/>
        </w:rPr>
        <w:t>Les critères, leur pondération, et la façon dont chacun sera noté.</w:t>
      </w:r>
    </w:p>
    <w:p>
      <w:pPr>
        <w:pStyle w:val="ListBullet"/>
      </w:pPr>
      <w:r>
        <w:rPr>
          <w:rFonts w:ascii="Calibri" w:hAnsi="Calibri" w:cs="Calibri" w:eastAsia="Calibri"/>
          <w:color w:val="1F2933"/>
          <w:sz w:val="21"/>
        </w:rPr>
        <w:t>Le prix entre 20 et 30 points au maximum, justifié dans le dossier.</w:t>
      </w:r>
    </w:p>
    <w:p>
      <w:pPr>
        <w:pStyle w:val="ListBullet"/>
      </w:pPr>
      <w:r>
        <w:rPr>
          <w:rFonts w:ascii="Calibri" w:hAnsi="Calibri" w:cs="Calibri" w:eastAsia="Calibri"/>
          <w:color w:val="1F2933"/>
          <w:sz w:val="21"/>
        </w:rPr>
        <w:t>Le critère « équipe affectée », avec les profils et la part sous-traitée.</w:t>
      </w:r>
    </w:p>
    <w:p>
      <w:pPr>
        <w:pStyle w:val="ListBullet"/>
      </w:pPr>
      <w:r>
        <w:rPr>
          <w:rFonts w:ascii="Calibri" w:hAnsi="Calibri" w:cs="Calibri" w:eastAsia="Calibri"/>
          <w:color w:val="1F2933"/>
          <w:sz w:val="21"/>
        </w:rPr>
        <w:t>Le critère « références vérifiables » : une adresse en production, un contact.</w:t>
      </w:r>
    </w:p>
    <w:p>
      <w:pPr>
        <w:pStyle w:val="ListBullet"/>
      </w:pPr>
      <w:r>
        <w:rPr>
          <w:rFonts w:ascii="Calibri" w:hAnsi="Calibri" w:cs="Calibri" w:eastAsia="Calibri"/>
          <w:color w:val="1F2933"/>
          <w:sz w:val="21"/>
        </w:rPr>
        <w:t>La façon dont les notes seront communiquées aux non-retenus.</w:t>
      </w:r>
    </w:p>
    <w:p>
      <w:pPr>
        <w:pStyle w:val="ListBullet"/>
      </w:pPr>
      <w:r>
        <w:rPr>
          <w:rFonts w:ascii="Calibri" w:hAnsi="Calibri" w:cs="Calibri" w:eastAsia="Calibri"/>
          <w:color w:val="1F2933"/>
          <w:sz w:val="21"/>
        </w:rPr>
        <w:t>L’existence ou non d’une soutenance, et qui doit y être présent.</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consultation fictive « Groupe Ferrière »</w:t>
            </w:r>
          </w:p>
          <w:p>
            <w:pPr>
              <w:spacing w:after="60" w:line="264" w:lineRule="auto"/>
            </w:pPr>
            <w:r>
              <w:rPr>
                <w:rFonts w:ascii="Calibri" w:hAnsi="Calibri" w:cs="Calibri" w:eastAsia="Calibri"/>
                <w:color w:val="1F2933"/>
                <w:sz w:val="20"/>
              </w:rPr>
              <w:t>Compréhension du besoin 30, méthode et organisation proposées 20, références vérifiables 15, équipe affectée 10, prix 25.</w:t>
            </w:r>
          </w:p>
          <w:p>
            <w:pPr>
              <w:spacing w:after="60" w:line="264" w:lineRule="auto"/>
            </w:pPr>
            <w:r>
              <w:rPr>
                <w:rFonts w:ascii="Calibri" w:hAnsi="Calibri" w:cs="Calibri" w:eastAsia="Calibri"/>
                <w:color w:val="1F2933"/>
                <w:sz w:val="20"/>
              </w:rPr>
              <w:t>Soutenance pour les trois mieux notés, une heure, avec obligation de présence de la personne qui pilotera réellement le projet.</w:t>
            </w:r>
          </w:p>
          <w:p>
            <w:pPr>
              <w:spacing w:after="60" w:line="264" w:lineRule="auto"/>
            </w:pPr>
            <w:r>
              <w:rPr>
                <w:rFonts w:ascii="Calibri" w:hAnsi="Calibri" w:cs="Calibri" w:eastAsia="Calibri"/>
                <w:color w:val="1F2933"/>
                <w:sz w:val="20"/>
              </w:rPr>
              <w:t>Notes communiquées à tous les candidats, retenus ou non, sous dix jours ouvrés.</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9. Format de réponse imposé</w:t>
      </w:r>
    </w:p>
    <w:p>
      <w:pPr>
        <w:pStyle w:val="EtiquetteADW"/>
      </w:pPr>
      <w:r>
        <w:t>Ce qu’on attend ici</w:t>
      </w:r>
    </w:p>
    <w:p>
      <w:pPr>
        <w:spacing w:after="120"/>
      </w:pPr>
      <w:r>
        <w:rPr>
          <w:rFonts w:ascii="Calibri" w:hAnsi="Calibri" w:cs="Calibri" w:eastAsia="Calibri"/>
          <w:color w:val="1F2933"/>
          <w:sz w:val="21"/>
        </w:rPr>
        <w:t>C’est la section qui rend les offres comparables, et c’est celle que la plupart des dossiers oublient. Imposez la trame de budget jointe, remplie poste par poste, sans en modifier les lignes. Imposez un plan de mémoire et un nombre de pages maximum. Imposez le format des annexes.</w:t>
      </w:r>
    </w:p>
    <w:p>
      <w:pPr>
        <w:spacing w:after="120"/>
      </w:pPr>
      <w:r>
        <w:rPr>
          <w:rFonts w:ascii="Calibri" w:hAnsi="Calibri" w:cs="Calibri" w:eastAsia="Calibri"/>
          <w:color w:val="1F2933"/>
          <w:sz w:val="21"/>
        </w:rPr>
        <w:t>Prévoyez aussi ce qui rend une offre irrecevable, et dites-le : une trame de budget modifiée, une réponse hors délai, une absence de réponse sur un lot obligatoire. Une règle annoncée se fait respecter sans discussion ; une règle appliquée après coup se conteste.</w:t>
      </w:r>
    </w:p>
    <w:p>
      <w:pPr>
        <w:pStyle w:val="EtiquetteADW"/>
      </w:pPr>
      <w:r>
        <w:t>Les points à couvrir</w:t>
      </w:r>
    </w:p>
    <w:p>
      <w:pPr>
        <w:pStyle w:val="ListBullet"/>
      </w:pPr>
      <w:r>
        <w:rPr>
          <w:rFonts w:ascii="Calibri" w:hAnsi="Calibri" w:cs="Calibri" w:eastAsia="Calibri"/>
          <w:color w:val="1F2933"/>
          <w:sz w:val="21"/>
        </w:rPr>
        <w:t>La trame de budget à remplir, jointe vide, lignes non modifiables.</w:t>
      </w:r>
    </w:p>
    <w:p>
      <w:pPr>
        <w:pStyle w:val="ListBullet"/>
      </w:pPr>
      <w:r>
        <w:rPr>
          <w:rFonts w:ascii="Calibri" w:hAnsi="Calibri" w:cs="Calibri" w:eastAsia="Calibri"/>
          <w:color w:val="1F2933"/>
          <w:sz w:val="21"/>
        </w:rPr>
        <w:t>Le plan du mémoire attendu et le nombre de pages maximum.</w:t>
      </w:r>
    </w:p>
    <w:p>
      <w:pPr>
        <w:pStyle w:val="ListBullet"/>
      </w:pPr>
      <w:r>
        <w:rPr>
          <w:rFonts w:ascii="Calibri" w:hAnsi="Calibri" w:cs="Calibri" w:eastAsia="Calibri"/>
          <w:color w:val="1F2933"/>
          <w:sz w:val="21"/>
        </w:rPr>
        <w:t>Les annexes admises et leur format.</w:t>
      </w:r>
    </w:p>
    <w:p>
      <w:pPr>
        <w:pStyle w:val="ListBullet"/>
      </w:pPr>
      <w:r>
        <w:rPr>
          <w:rFonts w:ascii="Calibri" w:hAnsi="Calibri" w:cs="Calibri" w:eastAsia="Calibri"/>
          <w:color w:val="1F2933"/>
          <w:sz w:val="21"/>
        </w:rPr>
        <w:t>Le canal et l’adresse de dépôt, et l’accusé de réception prévu.</w:t>
      </w:r>
    </w:p>
    <w:p>
      <w:pPr>
        <w:pStyle w:val="ListBullet"/>
      </w:pPr>
      <w:r>
        <w:rPr>
          <w:rFonts w:ascii="Calibri" w:hAnsi="Calibri" w:cs="Calibri" w:eastAsia="Calibri"/>
          <w:color w:val="1F2933"/>
          <w:sz w:val="21"/>
        </w:rPr>
        <w:t>Les motifs d’irrecevabilité, listés.</w:t>
      </w:r>
    </w:p>
    <w:p>
      <w:pPr>
        <w:pStyle w:val="ListBullet"/>
      </w:pPr>
      <w:r>
        <w:rPr>
          <w:rFonts w:ascii="Calibri" w:hAnsi="Calibri" w:cs="Calibri" w:eastAsia="Calibri"/>
          <w:color w:val="1F2933"/>
          <w:sz w:val="21"/>
        </w:rPr>
        <w:t>La date et l’heure limites, fuseau précisé.</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consultation fictive « Groupe Ferrière »</w:t>
            </w:r>
          </w:p>
          <w:p>
            <w:pPr>
              <w:spacing w:after="60" w:line="264" w:lineRule="auto"/>
            </w:pPr>
            <w:r>
              <w:rPr>
                <w:rFonts w:ascii="Calibri" w:hAnsi="Calibri" w:cs="Calibri" w:eastAsia="Calibri"/>
                <w:color w:val="1F2933"/>
                <w:sz w:val="20"/>
              </w:rPr>
              <w:t>Mémoire de quinze pages maximum, plan imposé : compréhension du besoin, méthode, équipe, planning, réversibilité.</w:t>
            </w:r>
          </w:p>
          <w:p>
            <w:pPr>
              <w:spacing w:after="60" w:line="264" w:lineRule="auto"/>
            </w:pPr>
            <w:r>
              <w:rPr>
                <w:rFonts w:ascii="Calibri" w:hAnsi="Calibri" w:cs="Calibri" w:eastAsia="Calibri"/>
                <w:color w:val="1F2933"/>
                <w:sz w:val="20"/>
              </w:rPr>
              <w:t>Trame de budget jointe, à remplir sans modifier les lignes. Une trame modifiée rend l’offre irrecevable.</w:t>
            </w:r>
          </w:p>
          <w:p>
            <w:pPr>
              <w:spacing w:after="60" w:line="264" w:lineRule="auto"/>
            </w:pPr>
            <w:r>
              <w:rPr>
                <w:rFonts w:ascii="Calibri" w:hAnsi="Calibri" w:cs="Calibri" w:eastAsia="Calibri"/>
                <w:color w:val="1F2933"/>
                <w:sz w:val="20"/>
              </w:rPr>
              <w:t>Dépôt par courriel à l’adresse de la référente, accusé de réception sous vingt-quatre heures ouvrées.</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10. Calendrier et phase de questions</w:t>
      </w:r>
    </w:p>
    <w:p>
      <w:pPr>
        <w:pStyle w:val="EtiquetteADW"/>
      </w:pPr>
      <w:r>
        <w:t>Ce qu’on attend ici</w:t>
      </w:r>
    </w:p>
    <w:p>
      <w:pPr>
        <w:spacing w:after="120"/>
      </w:pPr>
      <w:r>
        <w:rPr>
          <w:rFonts w:ascii="Calibri" w:hAnsi="Calibri" w:cs="Calibri" w:eastAsia="Calibri"/>
          <w:color w:val="1F2933"/>
          <w:sz w:val="21"/>
        </w:rPr>
        <w:t>Donnez les cinq dates de la consultation : publication du dossier, limite des questions, diffusion des réponses, limite de dépôt, décision. Une consultation sans date de décision annoncée laisse les candidats sans nouvelle et abîme votre réputation auprès de prestataires que vous consulterez à nouveau.</w:t>
      </w:r>
    </w:p>
    <w:p>
      <w:pPr>
        <w:spacing w:after="120"/>
      </w:pPr>
      <w:r>
        <w:rPr>
          <w:rFonts w:ascii="Calibri" w:hAnsi="Calibri" w:cs="Calibri" w:eastAsia="Calibri"/>
          <w:color w:val="1F2933"/>
          <w:sz w:val="21"/>
        </w:rPr>
        <w:t>Ouvrez une phase de questions et diffusez chaque réponse à tous les candidats, le même jour, de façon anonymisée. C’est une exigence d’équité, et c’est surtout un excellent révélateur : la qualité des questions posées reste le meilleur prédicteur de la qualité du projet à venir.</w:t>
      </w:r>
    </w:p>
    <w:p>
      <w:pPr>
        <w:pStyle w:val="EtiquetteADW"/>
      </w:pPr>
      <w:r>
        <w:t>Les points à couvrir</w:t>
      </w:r>
    </w:p>
    <w:p>
      <w:pPr>
        <w:pStyle w:val="ListBullet"/>
      </w:pPr>
      <w:r>
        <w:rPr>
          <w:rFonts w:ascii="Calibri" w:hAnsi="Calibri" w:cs="Calibri" w:eastAsia="Calibri"/>
          <w:color w:val="1F2933"/>
          <w:sz w:val="21"/>
        </w:rPr>
        <w:t>Les cinq dates de la consultation, fuseau précisé.</w:t>
      </w:r>
    </w:p>
    <w:p>
      <w:pPr>
        <w:pStyle w:val="ListBullet"/>
      </w:pPr>
      <w:r>
        <w:rPr>
          <w:rFonts w:ascii="Calibri" w:hAnsi="Calibri" w:cs="Calibri" w:eastAsia="Calibri"/>
          <w:color w:val="1F2933"/>
          <w:sz w:val="21"/>
        </w:rPr>
        <w:t>Le canal des questions et l’interlocuteur unique.</w:t>
      </w:r>
    </w:p>
    <w:p>
      <w:pPr>
        <w:pStyle w:val="ListBullet"/>
      </w:pPr>
      <w:r>
        <w:rPr>
          <w:rFonts w:ascii="Calibri" w:hAnsi="Calibri" w:cs="Calibri" w:eastAsia="Calibri"/>
          <w:color w:val="1F2933"/>
          <w:sz w:val="21"/>
        </w:rPr>
        <w:t>Le mode de diffusion des réponses, anonymisé, à tous les candidats.</w:t>
      </w:r>
    </w:p>
    <w:p>
      <w:pPr>
        <w:pStyle w:val="ListBullet"/>
      </w:pPr>
      <w:r>
        <w:rPr>
          <w:rFonts w:ascii="Calibri" w:hAnsi="Calibri" w:cs="Calibri" w:eastAsia="Calibri"/>
          <w:color w:val="1F2933"/>
          <w:sz w:val="21"/>
        </w:rPr>
        <w:t>La durée totale laissée aux candidats : deux à quatre semaines.</w:t>
      </w:r>
    </w:p>
    <w:p>
      <w:pPr>
        <w:pStyle w:val="ListBullet"/>
      </w:pPr>
      <w:r>
        <w:rPr>
          <w:rFonts w:ascii="Calibri" w:hAnsi="Calibri" w:cs="Calibri" w:eastAsia="Calibri"/>
          <w:color w:val="1F2933"/>
          <w:sz w:val="21"/>
        </w:rPr>
        <w:t>La date de décision et le mode d’information des non-retenus.</w:t>
      </w:r>
    </w:p>
    <w:p>
      <w:pPr>
        <w:pStyle w:val="ListBullet"/>
      </w:pPr>
      <w:r>
        <w:rPr>
          <w:rFonts w:ascii="Calibri" w:hAnsi="Calibri" w:cs="Calibri" w:eastAsia="Calibri"/>
          <w:color w:val="1F2933"/>
          <w:sz w:val="21"/>
        </w:rPr>
        <w:t>Ce qui se passe si aucune offre n’est retenue.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CE4F9"/>
              <w:left w:val="single" w:sz="18" w:space="0" w:color="154CE4"/>
              <w:bottom w:val="single" w:sz="4" w:space="0" w:color="DCE4F9"/>
              <w:right w:val="single" w:sz="4" w:space="0" w:color="DCE4F9"/>
            </w:tcBorders>
            <w:tcMar>
              <w:top w:w="160" w:type="dxa"/>
              <w:start w:w="200" w:type="dxa"/>
              <w:bottom w:w="160" w:type="dxa"/>
              <w:end w:w="200" w:type="dxa"/>
            </w:tcMar>
            <w:shd w:val="clear" w:color="auto" w:fill="F4F7FE"/>
          </w:tcPr>
          <w:p>
            <w:pPr>
              <w:spacing w:after="120"/>
            </w:pPr>
            <w:r>
              <w:rPr>
                <w:rFonts w:ascii="Calibri" w:hAnsi="Calibri" w:cs="Calibri" w:eastAsia="Calibri"/>
                <w:b/>
                <w:caps/>
                <w:color w:val="154CE4"/>
                <w:sz w:val="17"/>
                <w:spacing w:val="30"/>
              </w:rPr>
              <w:t>Exemple rempli : consultation fictive « Groupe Ferrière »</w:t>
            </w:r>
          </w:p>
          <w:p>
            <w:pPr>
              <w:spacing w:after="60" w:line="264" w:lineRule="auto"/>
            </w:pPr>
            <w:r>
              <w:rPr>
                <w:rFonts w:ascii="Calibri" w:hAnsi="Calibri" w:cs="Calibri" w:eastAsia="Calibri"/>
                <w:color w:val="1F2933"/>
                <w:sz w:val="20"/>
              </w:rPr>
              <w:t>Dossier publié le 3, questions jusqu’au 10, réponses diffusées le 12, dépôt jusqu’au 24 à 18 h, décision annoncée le 7 du mois suivant.</w:t>
            </w:r>
          </w:p>
          <w:p>
            <w:pPr>
              <w:spacing w:after="60" w:line="264" w:lineRule="auto"/>
            </w:pPr>
            <w:r>
              <w:rPr>
                <w:rFonts w:ascii="Calibri" w:hAnsi="Calibri" w:cs="Calibri" w:eastAsia="Calibri"/>
                <w:color w:val="1F2933"/>
                <w:sz w:val="20"/>
              </w:rPr>
              <w:t>Questions centralisées par la référente de la consultation, réponses anonymisées envoyées aux quatre candidats le même jour.</w:t>
            </w:r>
          </w:p>
          <w:p>
            <w:pPr>
              <w:spacing w:after="60" w:line="264" w:lineRule="auto"/>
            </w:pPr>
            <w:r>
              <w:rPr>
                <w:rFonts w:ascii="Calibri" w:hAnsi="Calibri" w:cs="Calibri" w:eastAsia="Calibri"/>
                <w:color w:val="1F2933"/>
                <w:sz w:val="20"/>
              </w:rPr>
              <w:t>Si aucune offre n’est retenue, la consultation est déclarée sans suite et les candidats en sont informés avec le motif.</w:t>
            </w:r>
          </w:p>
        </w:tc>
      </w:tr>
    </w:tbl>
    <w:p>
      <w:pPr>
        <w:spacing w:after="0" w:before="0"/>
      </w:pPr>
    </w:p>
    <w:p>
      <w:pPr>
        <w:pStyle w:val="EtiquetteADW"/>
      </w:pPr>
      <w:r>
        <w:t>Votre réponse</w:t>
      </w:r>
    </w:p>
    <w:tbl>
      <w:tblPr>
        <w:jc w:val="left"/>
        <w:tblLayout w:type="fixed"/>
        <w:tblLook w:firstColumn="1" w:firstRow="1" w:lastColumn="0" w:lastRow="0" w:noHBand="0" w:noVBand="1" w:val="04A0"/>
        <w:tblLayout w:type="fixed"/>
        <w:tblW w:type="dxa" w:w="9639"/>
      </w:tblPr>
      <w:tblGrid>
        <w:gridCol w:w="9639"/>
      </w:tblGrid>
      <w:tr>
        <w:tc>
          <w:tcPr>
            <w:tcW w:type="dxa" w:w="9638"/>
            <w:tcBorders>
              <w:top w:val="single" w:sz="4" w:space="0" w:color="DDE1E6"/>
              <w:left w:val="single" w:sz="4" w:space="0" w:color="DDE1E6"/>
              <w:bottom w:val="single" w:sz="4" w:space="0" w:color="DDE1E6"/>
              <w:right w:val="single" w:sz="4" w:space="0" w:color="DDE1E6"/>
            </w:tcBorders>
            <w:tcMar>
              <w:top w:w="140" w:type="dxa"/>
              <w:start w:w="200" w:type="dxa"/>
              <w:bottom w:w="140" w:type="dxa"/>
              <w:end w:w="200" w:type="dxa"/>
            </w:tcMar>
            <w:shd w:val="clear" w:color="auto" w:fill="F7F8FA"/>
          </w:tcPr>
          <w:p>
            <w:pPr>
              <w:spacing w:after="40"/>
            </w:pPr>
            <w:r>
              <w:rPr>
                <w:rFonts w:ascii="Calibri" w:hAnsi="Calibri" w:cs="Calibri" w:eastAsia="Calibri"/>
                <w:i/>
                <w:color w:val="7A828E"/>
                <w:sz w:val="21"/>
              </w:rPr>
              <w:t>[à compléter]</w:t>
            </w:r>
          </w:p>
          <w:p>
            <w:pPr>
              <w:spacing w:after="40"/>
            </w:pPr>
            <w:r>
              <w:rPr>
                <w:rFonts w:ascii="Calibri" w:hAnsi="Calibri" w:cs="Calibri" w:eastAsia="Calibri"/>
                <w:sz w:val="21"/>
              </w:rPr>
            </w:r>
          </w:p>
          <w:p>
            <w:pPr>
              <w:spacing w:after="40"/>
            </w:pPr>
            <w:r>
              <w:rPr>
                <w:rFonts w:ascii="Calibri" w:hAnsi="Calibri" w:cs="Calibri" w:eastAsia="Calibri"/>
                <w:sz w:val="21"/>
              </w:rPr>
            </w:r>
          </w:p>
          <w:p>
            <w:pPr>
              <w:spacing w:after="40"/>
            </w:pPr>
            <w:r>
              <w:rPr>
                <w:rFonts w:ascii="Calibri" w:hAnsi="Calibri" w:cs="Calibri" w:eastAsia="Calibri"/>
                <w:sz w:val="21"/>
              </w:rPr>
            </w:r>
          </w:p>
        </w:tc>
      </w:tr>
    </w:tbl>
    <w:p>
      <w:pPr>
        <w:spacing w:after="0" w:before="0"/>
      </w:pPr>
    </w:p>
    <w:p>
      <w:r>
        <w:br w:type="page"/>
      </w:r>
    </w:p>
    <w:p>
      <w:pPr>
        <w:pStyle w:val="Heading1"/>
      </w:pPr>
      <w:r>
        <w:t>Check-list avant envoi du dossier</w:t>
      </w:r>
    </w:p>
    <w:p>
      <w:pPr>
        <w:spacing w:after="120"/>
      </w:pPr>
      <w:r>
        <w:rPr>
          <w:rFonts w:ascii="Calibri" w:hAnsi="Calibri" w:cs="Calibri" w:eastAsia="Calibri"/>
          <w:color w:val="1F2933"/>
          <w:sz w:val="21"/>
        </w:rPr>
        <w:t>Relisez le dossier avec cette liste avant de l’envoyer. Chaque case cochée est une question de moins pendant la consultation et une contestation de moins au dépouillement.</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La nature du marché est écrite : forfait ou régie.</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Ce qui n’entre pas dans la consultation est écrit noir sur blanc.</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 temps réellement disponible de l’équipe projet est annoncé, pas son temps théorique.</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Chaque flux de données porte un sens, une fréquence et un système qui fait foi.</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Les contraintes imposées sont séparées des préférences.</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Les preuves de conformité attendues sont listées une à une.</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L’enveloppe budgétaire est annoncée, en hors taxes, et son contenu est précisé.</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Les critères de notation sont écrits, pondérés et publiés aux candidats.</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 prix ne pèse pas plus de 30 points sur 100.</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La trame de budget est jointe, vide, avec l’interdiction de modifier ses lignes.</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Les motifs d’irrecevabilité sont listés.</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Les cinq dates de la consultation sont posées, dont la date de décision.</w:t>
      </w:r>
    </w:p>
    <w:p>
      <w:pPr>
        <w:spacing w:after="80"/>
        <w:ind w:left="340" w:hanging="340"/>
      </w:pPr>
      <w:r>
        <w:rPr>
          <w:rFonts w:ascii="Calibri" w:hAnsi="Calibri" w:cs="Calibri" w:eastAsia="Calibri"/>
          <w:color w:val="154CE4"/>
          <w:sz w:val="24"/>
        </w:rPr>
        <w:t xml:space="preserve">☐   </w:t>
      </w:r>
      <w:r>
        <w:rPr>
          <w:rFonts w:ascii="Calibri" w:hAnsi="Calibri" w:cs="Calibri" w:eastAsia="Calibri"/>
          <w:color w:val="1F2933"/>
          <w:sz w:val="21"/>
        </w:rPr>
        <w:t>Le cahier des charges est joint au dossier.</w:t>
      </w:r>
    </w:p>
    <w:p>
      <w:pPr>
        <w:spacing w:after="120"/>
      </w:pPr>
      <w:r>
        <w:rPr>
          <w:rFonts w:ascii="Calibri" w:hAnsi="Calibri" w:cs="Calibri" w:eastAsia="Calibri"/>
          <w:color w:val="1F2933"/>
          <w:sz w:val="21"/>
        </w:rPr>
      </w:r>
    </w:p>
    <w:p>
      <w:pPr>
        <w:pBdr>
          <w:bottom w:val="single" w:sz="4" w:space="4" w:color="DDE1E6"/>
        </w:pBdr>
      </w:pPr>
    </w:p>
    <w:p>
      <w:pPr>
        <w:spacing w:before="160"/>
      </w:pPr>
      <w:r>
        <w:rPr>
          <w:rFonts w:ascii="Calibri" w:hAnsi="Calibri" w:cs="Calibri" w:eastAsia="Calibri"/>
          <w:b/>
          <w:color w:val="154CE4"/>
          <w:sz w:val="19"/>
        </w:rPr>
        <w:t>agencedeveloppementweb.net</w:t>
      </w:r>
      <w:r>
        <w:rPr>
          <w:rFonts w:ascii="Calibri" w:hAnsi="Calibri" w:cs="Calibri" w:eastAsia="Calibri"/>
          <w:color w:val="5A6472"/>
          <w:sz w:val="19"/>
        </w:rPr>
        <w:t xml:space="preserve">  ·  Trame d’appel d’offres informatique, version 1.0. À joindre au cahier des charges et à la grille de dépouillement du même guide.</w:t>
      </w:r>
    </w:p>
    <w:sectPr w:rsidR="00FC693F" w:rsidRPr="0006063C" w:rsidSect="00034616">
      <w:headerReference w:type="default" r:id="rId9"/>
      <w:footerReference w:type="default" r:id="rId10"/>
      <w:footerReference w:type="first" r:id="rId11"/>
      <w:pgSz w:w="11906" w:h="16838"/>
      <w:pgMar w:top="1247" w:right="1134" w:bottom="1134" w:left="1134" w:header="680" w:footer="68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before="80"/>
      <w:pBdr>
        <w:bottom w:val="single" w:sz="2" w:space="1" w:color="FFFFFF"/>
      </w:pBdr>
    </w:pPr>
    <w:r>
      <w:rPr>
        <w:rFonts w:ascii="Calibri" w:hAnsi="Calibri" w:cs="Calibri" w:eastAsia="Calibri"/>
        <w:color w:val="5A6472"/>
        <w:sz w:val="17"/>
      </w:rPr>
      <w:t>Modèle fourni par agencedeveloppementweb.net</w:t>
    </w:r>
    <w:r>
      <w:rPr>
        <w:rFonts w:ascii="Calibri" w:hAnsi="Calibri" w:cs="Calibri" w:eastAsia="Calibri"/>
        <w:sz w:val="17"/>
      </w:rPr>
      <w:tab/>
    </w:r>
    <w:r>
      <w:rPr>
        <w:rFonts w:ascii="Calibri" w:hAnsi="Calibri" w:cs="Calibri" w:eastAsia="Calibri"/>
        <w:color w:val="5A6472"/>
        <w:sz w:val="17"/>
      </w:rPr>
      <w:t xml:space="preserve">Page </w:t>
    </w:r>
    <w:r>
      <w:fldChar w:fldCharType="begin"/>
    </w:r>
    <w:r>
      <w:instrText xml:space="preserve"> PAGE </w:instrText>
    </w:r>
    <w:r>
      <w:fldChar w:fldCharType="separate"/>
    </w:r>
    <w:r>
      <w:rPr>
        <w:rFonts w:ascii="Calibri" w:hAnsi="Calibri" w:cs="Calibri" w:eastAsia="Calibri"/>
        <w:b/>
        <w:color w:val="1F2933"/>
        <w:sz w:val="17"/>
      </w:rPr>
      <w:t>1</w:t>
    </w:r>
    <w:r>
      <w:fldChar w:fldCharType="end"/>
    </w:r>
    <w:r>
      <w:rPr>
        <w:rFonts w:ascii="Calibri" w:hAnsi="Calibri" w:cs="Calibri" w:eastAsia="Calibri"/>
        <w:color w:val="5A6472"/>
        <w:sz w:val="17"/>
      </w:rPr>
      <w:t xml:space="preserve"> sur </w:t>
    </w:r>
    <w:r>
      <w:fldChar w:fldCharType="begin"/>
    </w:r>
    <w:r>
      <w:instrText xml:space="preserve"> NUMPAGES </w:instrText>
    </w:r>
    <w:r>
      <w:fldChar w:fldCharType="separate"/>
    </w:r>
    <w:r>
      <w:rPr>
        <w:rFonts w:ascii="Calibri" w:hAnsi="Calibri" w:cs="Calibri" w:eastAsia="Calibri"/>
        <w:color w:val="5A6472"/>
        <w:sz w:val="17"/>
      </w:rPr>
      <w:t>1</w:t>
    </w:r>
    <w: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Pr>
        <w:rFonts w:ascii="Calibri" w:hAnsi="Calibri" w:cs="Calibri" w:eastAsia="Calibri"/>
        <w:color w:val="7A828E"/>
        <w:sz w:val="17"/>
      </w:rPr>
      <w:t>agencedeveloppementweb.net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spacing w:after="80"/>
      <w:pBdr>
        <w:bottom w:val="single" w:sz="4" w:space="4" w:color="DDE1E6"/>
      </w:pBdr>
    </w:pPr>
    <w:r>
      <w:rPr>
        <w:rFonts w:ascii="Calibri" w:hAnsi="Calibri" w:cs="Calibri" w:eastAsia="Calibri"/>
        <w:caps/>
        <w:color w:val="5A6472"/>
        <w:sz w:val="17"/>
        <w:spacing w:val="20"/>
      </w:rPr>
      <w:t>Appel d’offres  ·  Informatique</w:t>
    </w:r>
    <w:r>
      <w:rPr>
        <w:rFonts w:ascii="Calibri" w:hAnsi="Calibri" w:cs="Calibri" w:eastAsia="Calibri"/>
        <w:sz w:val="17"/>
      </w:rPr>
      <w:tab/>
    </w:r>
    <w:r>
      <w:rPr>
        <w:rFonts w:ascii="Calibri" w:hAnsi="Calibri" w:cs="Calibri" w:eastAsia="Calibri"/>
        <w:i/>
        <w:color w:val="7A828E"/>
        <w:sz w:val="17"/>
      </w:rPr>
      <w:t>[Nom du projet]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line="276" w:lineRule="auto"/>
    </w:pPr>
    <w:rPr>
      <w:rFonts w:ascii="Calibri" w:hAnsi="Calibri" w:cs="Calibri" w:eastAsia="Calibri"/>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ascii="Calibri" w:hAnsi="Calibri"/>
      <w:b/>
      <w:bCs/>
      <w:color w:val="154CE4"/>
      <w:sz w:val="3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Calibri" w:hAnsi="Calibri"/>
      <w:b/>
      <w:bCs/>
      <w:color w:val="1F293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64" w:lineRule="auto"/>
      <w:contextualSpacing/>
    </w:pPr>
    <w:rPr>
      <w:rFonts w:ascii="Calibri" w:hAnsi="Calibri"/>
      <w:color w:val="1F29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tiquetteADW">
    <w:name w:val="Etiquette ADW"/>
    <w:basedOn w:val="Normal"/>
    <w:pPr>
      <w:keepNext/>
      <w:spacing w:before="240" w:after="60"/>
    </w:pPr>
    <w:rPr>
      <w:rFonts w:ascii="Calibri" w:hAnsi="Calibri"/>
      <w:b/>
      <w:caps/>
      <w:color w:val="5A6472"/>
      <w:sz w:val="16"/>
      <w:spacing w:val="30"/>
    </w:rPr>
  </w:style>
  <w:style w:type="paragraph" w:customStyle="1" w:styleId="NoteADW">
    <w:name w:val="Note ADW"/>
    <w:basedOn w:val="Normal"/>
    <w:pPr>
      <w:spacing w:before="80"/>
    </w:pPr>
    <w:rPr>
      <w:color w:val="5A6472"/>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Trame d’appel d’offres informatique</dc:title>
  <dc:subject>Dossier de consultation à compléter pour un projet informatique ou web</dc:subject>
  <dc:creator>agencedeveloppementweb.net</dc:creator>
  <cp:keywords/>
  <dc:description>Modèle libre d’usage fourni par agencedeveloppementweb.net.</dc:description>
  <cp:lastModifiedBy/>
  <cp:revision>1</cp:revision>
  <dcterms:created xsi:type="dcterms:W3CDTF">2013-12-23T23:15:00Z</dcterms:created>
  <dcterms:modified xsi:type="dcterms:W3CDTF">2013-12-23T23:15:00Z</dcterms:modified>
  <cp:category>Modèle</cp:category>
</cp:coreProperties>
</file>