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r>
        <w:rPr>
          <w:rFonts w:ascii="Calibri" w:hAnsi="Calibri" w:cs="Calibri" w:eastAsia="Calibri"/>
          <w:b/>
          <w:color w:val="1F2933"/>
          <w:sz w:val="60"/>
        </w:rPr>
        <w:t>Cahier des charges</w:t>
      </w:r>
    </w:p>
    <w:p>
      <w:pPr>
        <w:spacing w:after="280"/>
      </w:pPr>
      <w:r>
        <w:rPr>
          <w:rFonts w:ascii="Calibri" w:hAnsi="Calibri" w:cs="Calibri" w:eastAsia="Calibri"/>
          <w:b/>
          <w:color w:val="154CE4"/>
          <w:sz w:val="60"/>
        </w:rPr>
        <w:t>de refonte</w:t>
      </w:r>
    </w:p>
    <w:p>
      <w:pPr>
        <w:spacing w:after="320"/>
        <w:pBdr>
          <w:bottom w:val="single" w:sz="12" w:space="2" w:color="154CE4"/>
        </w:pBdr>
      </w:pPr>
    </w:p>
    <w:p>
      <w:pPr>
        <w:spacing w:after="80"/>
      </w:pPr>
      <w:r>
        <w:rPr>
          <w:rFonts w:ascii="Calibri" w:hAnsi="Calibri" w:cs="Calibri" w:eastAsia="Calibri"/>
          <w:b/>
          <w:caps/>
          <w:color w:val="5A6472"/>
          <w:sz w:val="26"/>
          <w:spacing w:val="60"/>
        </w:rPr>
        <w:t>Modèle à compléter</w:t>
      </w:r>
    </w:p>
    <w:p>
      <w:pPr>
        <w:spacing w:after="720"/>
      </w:pPr>
      <w:r>
        <w:rPr>
          <w:rFonts w:ascii="Calibri" w:hAnsi="Calibri" w:cs="Calibri" w:eastAsia="Calibri"/>
          <w:color w:val="5A6472"/>
          <w:sz w:val="22"/>
        </w:rPr>
        <w:t>Neuf sections à remplir pour faire chiffrer une refonte de site web, avec ce qui distingue une refonte d’une création et se paie quand on l’oublie.</w:t>
      </w:r>
    </w:p>
    <w:tbl>
      <w:tblPr>
        <w:jc w:val="left"/>
        <w:tblLayout w:type="fixed"/>
        <w:tblLook w:firstColumn="1" w:firstRow="1" w:lastColumn="0" w:lastRow="0" w:noHBand="0" w:noVBand="1" w:val="04A0"/>
        <w:tblLayout w:type="fixed"/>
        <w:tblW w:type="dxa" w:w="9639"/>
      </w:tblPr>
      <w:tblGrid>
        <w:gridCol w:w="3969"/>
        <w:gridCol w:w="5670"/>
      </w:tblGrid>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Site existant</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[adresse du site actuel]</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Société</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Rédigé par</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[nom, e-mail, téléphone]</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Date</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Version du document</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bl>
    <w:p>
      <w:pPr>
        <w:spacing w:after="0"/>
      </w:pPr>
    </w:p>
    <w:p>
      <w:pPr>
        <w:spacing w:after="0"/>
      </w:pPr>
    </w:p>
    <w:p>
      <w:pPr>
        <w:spacing w:after="0"/>
      </w:pPr>
    </w:p>
    <w:p>
      <w:pPr>
        <w:spacing w:after="0"/>
      </w:pPr>
    </w:p>
    <w:p>
      <w:pPr>
        <w:spacing w:after="0"/>
      </w:pPr>
    </w:p>
    <w:p>
      <w:pPr>
        <w:spacing w:after="0"/>
        <w:pBdr>
          <w:bottom w:val="single" w:sz="4" w:space="4" w:color="DDE1E6"/>
        </w:pBdr>
      </w:pPr>
    </w:p>
    <w:p>
      <w:pPr>
        <w:spacing w:before="120"/>
      </w:pPr>
      <w:r>
        <w:rPr>
          <w:rFonts w:ascii="Calibri" w:hAnsi="Calibri" w:cs="Calibri" w:eastAsia="Calibri"/>
          <w:b/>
          <w:color w:val="5A6472"/>
          <w:sz w:val="19"/>
        </w:rPr>
        <w:t>Document fourni par agencedeveloppementweb.net</w:t>
      </w:r>
    </w:p>
    <w:p>
      <w:r>
        <w:rPr>
          <w:rFonts w:ascii="Calibri" w:hAnsi="Calibri" w:cs="Calibri" w:eastAsia="Calibri"/>
          <w:color w:val="7A828E"/>
          <w:sz w:val="18"/>
        </w:rPr>
        <w:t>Modèle libre d’usage pour préparer votre projet et consulter des prestataires. Aucune donnée n’est transmise à un tiers.</w:t>
      </w:r>
    </w:p>
    <w:p>
      <w:r>
        <w:br w:type="page"/>
      </w:r>
    </w:p>
    <w:p>
      <w:pPr>
        <w:spacing w:after="80"/>
        <w:pBdr>
          <w:bottom w:val="single" w:sz="6" w:space="4" w:color="DCE4F9"/>
        </w:pBdr>
      </w:pPr>
      <w:r>
        <w:rPr>
          <w:rFonts w:ascii="Calibri" w:hAnsi="Calibri" w:cs="Calibri" w:eastAsia="Calibri"/>
          <w:b/>
          <w:color w:val="154CE4"/>
          <w:sz w:val="30"/>
        </w:rPr>
        <w:t>Sommaire</w:t>
      </w:r>
    </w:p>
    <w:p>
      <w:pPr>
        <w:pStyle w:val="NoteADW"/>
      </w:pPr>
      <w:r>
        <w:rPr>
          <w:rFonts w:ascii="Calibri" w:hAnsi="Calibri" w:cs="Calibri" w:eastAsia="Calibri"/>
          <w:i/>
          <w:color w:val="7A828E"/>
          <w:sz w:val="18"/>
        </w:rPr>
        <w:t>Le sommaire se met à jour tout seul. Si les titres n’apparaissent pas, cliquez dedans avec le bouton droit puis choisissez « Mettre à jour les champs ».</w:t>
      </w:r>
    </w:p>
    <w:p>
      <w:r>
        <w:fldChar w:fldCharType="begin"/>
      </w:r>
      <w:r>
        <w:instrText xml:space="preserve"> TOC \o "1-2" \h \z \u </w:instrText>
      </w:r>
      <w:r>
        <w:fldChar w:fldCharType="separate"/>
      </w:r>
      <w:r>
        <w:t>Sommaire à mettre à jour : clic droit sur cette ligne, puis « Mettre à jour les champs ».</w:t>
      </w:r>
      <w:r>
        <w:fldChar w:fldCharType="end"/>
      </w:r>
    </w:p>
    <w:p>
      <w:r>
        <w:br w:type="page"/>
      </w:r>
    </w:p>
    <w:p>
      <w:pPr>
        <w:pStyle w:val="Heading1"/>
      </w:pPr>
      <w:r>
        <w:t>Comment utiliser ce modèle</w:t>
      </w:r>
    </w:p>
    <w:p>
      <w:pPr>
        <w:spacing w:after="120"/>
      </w:pPr>
      <w:r>
        <w:rPr>
          <w:rFonts w:ascii="Calibri" w:hAnsi="Calibri" w:cs="Calibri" w:eastAsia="Calibri"/>
          <w:color w:val="1F2933"/>
          <w:sz w:val="21"/>
        </w:rPr>
        <w:t>Une refonte n’est pas une création avec un existant en plus : c’est un exercice différent, et il se rate sur quatre points précis. Le plan de redirections, la reprise des contenus, la mesure avant et après, et le sort des comptes existants. Ce document reprend la trame du cahier des charges de création et y ajoute les sections propres à la refonte.</w:t>
      </w:r>
    </w:p>
    <w:p>
      <w:pPr>
        <w:spacing w:after="100"/>
        <w:ind w:left="397" w:hanging="397"/>
      </w:pPr>
      <w:r>
        <w:rPr>
          <w:rFonts w:ascii="Calibri" w:hAnsi="Calibri" w:cs="Calibri" w:eastAsia="Calibri"/>
          <w:b/>
          <w:color w:val="154CE4"/>
          <w:sz w:val="21"/>
        </w:rPr>
        <w:t xml:space="preserve">1.  </w:t>
      </w:r>
      <w:r>
        <w:rPr>
          <w:rFonts w:ascii="Calibri" w:hAnsi="Calibri" w:cs="Calibri" w:eastAsia="Calibri"/>
          <w:b/>
          <w:color w:val="1F2933"/>
          <w:sz w:val="21"/>
        </w:rPr>
        <w:t xml:space="preserve">Relevez vos chiffres AVANT de commencer. </w:t>
      </w:r>
      <w:r>
        <w:rPr>
          <w:rFonts w:ascii="Calibri" w:hAnsi="Calibri" w:cs="Calibri" w:eastAsia="Calibri"/>
          <w:color w:val="1F2933"/>
          <w:sz w:val="21"/>
        </w:rPr>
        <w:t>Section 2. Trafic, demandes, conversions, pages les plus vues. Sans relevé antérieur, vous ne pourrez jamais démontrer ce que la refonte a produit, ni diagnostiquer une chute.</w:t>
      </w:r>
    </w:p>
    <w:p>
      <w:pPr>
        <w:spacing w:after="100"/>
        <w:ind w:left="397" w:hanging="397"/>
      </w:pPr>
      <w:r>
        <w:rPr>
          <w:rFonts w:ascii="Calibri" w:hAnsi="Calibri" w:cs="Calibri" w:eastAsia="Calibri"/>
          <w:b/>
          <w:color w:val="154CE4"/>
          <w:sz w:val="21"/>
        </w:rPr>
        <w:t xml:space="preserve">2.  </w:t>
      </w:r>
      <w:r>
        <w:rPr>
          <w:rFonts w:ascii="Calibri" w:hAnsi="Calibri" w:cs="Calibri" w:eastAsia="Calibri"/>
          <w:b/>
          <w:color w:val="1F2933"/>
          <w:sz w:val="21"/>
        </w:rPr>
        <w:t xml:space="preserve">Inventoriez les adresses existantes. </w:t>
      </w:r>
      <w:r>
        <w:rPr>
          <w:rFonts w:ascii="Calibri" w:hAnsi="Calibri" w:cs="Calibri" w:eastAsia="Calibri"/>
          <w:color w:val="1F2933"/>
          <w:sz w:val="21"/>
        </w:rPr>
        <w:t>Section 3. Toutes, pas seulement celles du menu. Le plan de redirections se construit sur cet inventaire, et c’est un livrable contractuel.</w:t>
      </w:r>
    </w:p>
    <w:p>
      <w:pPr>
        <w:spacing w:after="100"/>
        <w:ind w:left="397" w:hanging="397"/>
      </w:pPr>
      <w:r>
        <w:rPr>
          <w:rFonts w:ascii="Calibri" w:hAnsi="Calibri" w:cs="Calibri" w:eastAsia="Calibri"/>
          <w:b/>
          <w:color w:val="154CE4"/>
          <w:sz w:val="21"/>
        </w:rPr>
        <w:t xml:space="preserve">3.  </w:t>
      </w:r>
      <w:r>
        <w:rPr>
          <w:rFonts w:ascii="Calibri" w:hAnsi="Calibri" w:cs="Calibri" w:eastAsia="Calibri"/>
          <w:b/>
          <w:color w:val="1F2933"/>
          <w:sz w:val="21"/>
        </w:rPr>
        <w:t xml:space="preserve">Décidez du sort de chaque contenu. </w:t>
      </w:r>
      <w:r>
        <w:rPr>
          <w:rFonts w:ascii="Calibri" w:hAnsi="Calibri" w:cs="Calibri" w:eastAsia="Calibri"/>
          <w:color w:val="1F2933"/>
          <w:sz w:val="21"/>
        </w:rPr>
        <w:t>Section 4. Repris tel quel, réécrit, fusionné, supprimé. Quatre décisions possibles, une par ligne, prises par vous et pas par le prestataire.</w:t>
      </w:r>
    </w:p>
    <w:p>
      <w:pPr>
        <w:spacing w:after="100"/>
        <w:ind w:left="397" w:hanging="397"/>
      </w:pPr>
      <w:r>
        <w:rPr>
          <w:rFonts w:ascii="Calibri" w:hAnsi="Calibri" w:cs="Calibri" w:eastAsia="Calibri"/>
          <w:b/>
          <w:color w:val="154CE4"/>
          <w:sz w:val="21"/>
        </w:rPr>
        <w:t xml:space="preserve">4.  </w:t>
      </w:r>
      <w:r>
        <w:rPr>
          <w:rFonts w:ascii="Calibri" w:hAnsi="Calibri" w:cs="Calibri" w:eastAsia="Calibri"/>
          <w:b/>
          <w:color w:val="1F2933"/>
          <w:sz w:val="21"/>
        </w:rPr>
        <w:t xml:space="preserve">Écrivez ce qui fonctionne aujourd’hui. </w:t>
      </w:r>
      <w:r>
        <w:rPr>
          <w:rFonts w:ascii="Calibri" w:hAnsi="Calibri" w:cs="Calibri" w:eastAsia="Calibri"/>
          <w:color w:val="1F2933"/>
          <w:sz w:val="21"/>
        </w:rPr>
        <w:t>Section 5. C’est la section que personne ne rédige, et c’est elle qui évite de casser en chemin ce qui marchait déjà.</w:t>
      </w:r>
    </w:p>
    <w:p>
      <w:pPr>
        <w:spacing w:after="100"/>
        <w:ind w:left="397" w:hanging="397"/>
      </w:pPr>
      <w:r>
        <w:rPr>
          <w:rFonts w:ascii="Calibri" w:hAnsi="Calibri" w:cs="Calibri" w:eastAsia="Calibri"/>
          <w:b/>
          <w:color w:val="154CE4"/>
          <w:sz w:val="21"/>
        </w:rPr>
        <w:t xml:space="preserve">5.  </w:t>
      </w:r>
      <w:r>
        <w:rPr>
          <w:rFonts w:ascii="Calibri" w:hAnsi="Calibri" w:cs="Calibri" w:eastAsia="Calibri"/>
          <w:b/>
          <w:color w:val="1F2933"/>
          <w:sz w:val="21"/>
        </w:rPr>
        <w:t xml:space="preserve">Traitez les comptes existants tôt. </w:t>
      </w:r>
      <w:r>
        <w:rPr>
          <w:rFonts w:ascii="Calibri" w:hAnsi="Calibri" w:cs="Calibri" w:eastAsia="Calibri"/>
          <w:color w:val="1F2933"/>
          <w:sz w:val="21"/>
        </w:rPr>
        <w:t>Section 7. Un mot de passe ne se migre pas toujours. Décider en fin de projet ce qu’on fait de trois mille comptes est la pire façon de le décider.</w:t>
      </w:r>
    </w:p>
    <w:p>
      <w:pPr>
        <w:spacing w:after="100"/>
        <w:ind w:left="397" w:hanging="397"/>
      </w:pPr>
      <w:r>
        <w:rPr>
          <w:rFonts w:ascii="Calibri" w:hAnsi="Calibri" w:cs="Calibri" w:eastAsia="Calibri"/>
          <w:b/>
          <w:color w:val="154CE4"/>
          <w:sz w:val="21"/>
        </w:rPr>
        <w:t xml:space="preserve">6.  </w:t>
      </w:r>
      <w:r>
        <w:rPr>
          <w:rFonts w:ascii="Calibri" w:hAnsi="Calibri" w:cs="Calibri" w:eastAsia="Calibri"/>
          <w:b/>
          <w:color w:val="1F2933"/>
          <w:sz w:val="21"/>
        </w:rPr>
        <w:t xml:space="preserve">Joignez la trame de budget. </w:t>
      </w:r>
      <w:r>
        <w:rPr>
          <w:rFonts w:ascii="Calibri" w:hAnsi="Calibri" w:cs="Calibri" w:eastAsia="Calibri"/>
          <w:color w:val="1F2933"/>
          <w:sz w:val="21"/>
        </w:rPr>
        <w:t>Une refonte se chiffre poste par poste comme une création, plus les postes propres à la reprise. Envoyez la trame vide à toutes les structures consultées.</w:t>
      </w:r>
    </w:p>
    <w:p>
      <w:pPr>
        <w:spacing w:after="120"/>
      </w:pPr>
      <w:r>
        <w:rPr>
          <w:rFonts w:ascii="Calibri" w:hAnsi="Calibri" w:cs="Calibri" w:eastAsia="Calibri"/>
          <w:color w:val="1F2933"/>
          <w:sz w:val="21"/>
        </w:rPr>
      </w:r>
    </w:p>
    <w:p>
      <w:pPr>
        <w:pStyle w:val="NoteADW"/>
      </w:pPr>
      <w:r>
        <w:rPr>
          <w:rFonts w:ascii="Calibri" w:hAnsi="Calibri" w:cs="Calibri" w:eastAsia="Calibri"/>
          <w:i/>
          <w:color w:val="7A828E"/>
          <w:sz w:val="18"/>
        </w:rPr>
        <w:t>La « Maison Verdier » utilisée dans les exemples est une entreprise entièrement fictive. Elle sert uniquement à montrer le niveau de détail attendu : ne reprenez ni ses chiffres, ni son périmètre.</w:t>
      </w:r>
    </w:p>
    <w:p>
      <w:r>
        <w:br w:type="page"/>
      </w:r>
    </w:p>
    <w:p>
      <w:pPr>
        <w:pStyle w:val="Heading1"/>
      </w:pPr>
      <w:r>
        <w:t>1. Pourquoi refondre, et pourquoi maintenant</w:t>
      </w:r>
    </w:p>
    <w:p>
      <w:pPr>
        <w:pStyle w:val="EtiquetteADW"/>
      </w:pPr>
      <w:r>
        <w:t>Ce qu’on attend ici</w:t>
      </w:r>
    </w:p>
    <w:p>
      <w:pPr>
        <w:spacing w:after="120"/>
      </w:pPr>
      <w:r>
        <w:rPr>
          <w:rFonts w:ascii="Calibri" w:hAnsi="Calibri" w:cs="Calibri" w:eastAsia="Calibri"/>
          <w:color w:val="1F2933"/>
          <w:sz w:val="21"/>
        </w:rPr>
        <w:t>Une refonte se décide presque toujours sur un déclencheur précis : un socle qui n’est plus maintenu, une charte qui a changé, un outil de gestion qu’il faut brancher, une chute de trafic, ou simplement un site que plus personne ne sait modifier. Nommez ce déclencheur. Une refonte « parce que le site date de 2019 » ne se chiffre pas et ne se pilote pas.</w:t>
      </w:r>
    </w:p>
    <w:p>
      <w:pPr>
        <w:spacing w:after="120"/>
      </w:pPr>
      <w:r>
        <w:rPr>
          <w:rFonts w:ascii="Calibri" w:hAnsi="Calibri" w:cs="Calibri" w:eastAsia="Calibri"/>
          <w:color w:val="1F2933"/>
          <w:sz w:val="21"/>
        </w:rPr>
        <w:t>Distinguez ensuite ce qui relève du fond et ce qui relève de la forme. Refaire l’habillage d’un site dont la structure et les contenus tiennent est un projet court. Refaire la structure, les contenus et les parcours est un projet de création avec une contrainte de reprise. Les deux s’appellent « refonte » et n’ont ni le même prix ni le même risque.</w:t>
      </w:r>
    </w:p>
    <w:p>
      <w:pPr>
        <w:pStyle w:val="EtiquetteADW"/>
      </w:pPr>
      <w:r>
        <w:t>Les points à couvrir</w:t>
      </w:r>
    </w:p>
    <w:p>
      <w:pPr>
        <w:pStyle w:val="ListBullet"/>
      </w:pPr>
      <w:r>
        <w:rPr>
          <w:rFonts w:ascii="Calibri" w:hAnsi="Calibri" w:cs="Calibri" w:eastAsia="Calibri"/>
          <w:color w:val="1F2933"/>
          <w:sz w:val="21"/>
        </w:rPr>
        <w:t>Le déclencheur précis, daté.</w:t>
      </w:r>
    </w:p>
    <w:p>
      <w:pPr>
        <w:pStyle w:val="ListBullet"/>
      </w:pPr>
      <w:r>
        <w:rPr>
          <w:rFonts w:ascii="Calibri" w:hAnsi="Calibri" w:cs="Calibri" w:eastAsia="Calibri"/>
          <w:color w:val="1F2933"/>
          <w:sz w:val="21"/>
        </w:rPr>
        <w:t>Ce qui doit changer : habillage, structure, contenus, fonctions, socle technique.</w:t>
      </w:r>
    </w:p>
    <w:p>
      <w:pPr>
        <w:pStyle w:val="ListBullet"/>
      </w:pPr>
      <w:r>
        <w:rPr>
          <w:rFonts w:ascii="Calibri" w:hAnsi="Calibri" w:cs="Calibri" w:eastAsia="Calibri"/>
          <w:color w:val="1F2933"/>
          <w:sz w:val="21"/>
        </w:rPr>
        <w:t>Ce qui ne doit surtout pas changer.</w:t>
      </w:r>
    </w:p>
    <w:p>
      <w:pPr>
        <w:pStyle w:val="ListBullet"/>
      </w:pPr>
      <w:r>
        <w:rPr>
          <w:rFonts w:ascii="Calibri" w:hAnsi="Calibri" w:cs="Calibri" w:eastAsia="Calibri"/>
          <w:color w:val="1F2933"/>
          <w:sz w:val="21"/>
        </w:rPr>
        <w:t>Les contraintes de calendrier et leur raison.</w:t>
      </w:r>
    </w:p>
    <w:p>
      <w:pPr>
        <w:pStyle w:val="ListBullet"/>
      </w:pPr>
      <w:r>
        <w:rPr>
          <w:rFonts w:ascii="Calibri" w:hAnsi="Calibri" w:cs="Calibri" w:eastAsia="Calibri"/>
          <w:color w:val="1F2933"/>
          <w:sz w:val="21"/>
        </w:rPr>
        <w:t>Ce qui a déjà été tenté sur le site actuel.</w:t>
      </w:r>
    </w:p>
    <w:p>
      <w:pPr>
        <w:pStyle w:val="ListBullet"/>
      </w:pPr>
      <w:r>
        <w:rPr>
          <w:rFonts w:ascii="Calibri" w:hAnsi="Calibri" w:cs="Calibri" w:eastAsia="Calibri"/>
          <w:color w:val="1F2933"/>
          <w:sz w:val="21"/>
        </w:rPr>
        <w:t>Qui décide, côté client, et sous quel délai.</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Déclencheur : le socle du site n’est plus mis à jour depuis 2023 et l’hébergeur a signalé deux tentatives d’intrusion en février.</w:t>
            </w:r>
          </w:p>
          <w:p>
            <w:pPr>
              <w:spacing w:after="60" w:line="264" w:lineRule="auto"/>
            </w:pPr>
            <w:r>
              <w:rPr>
                <w:rFonts w:ascii="Calibri" w:hAnsi="Calibri" w:cs="Calibri" w:eastAsia="Calibri"/>
                <w:color w:val="1F2933"/>
                <w:sz w:val="20"/>
              </w:rPr>
              <w:t>Doit changer : le socle technique, la structure des rubriques, le parcours de demande de devis.</w:t>
            </w:r>
          </w:p>
          <w:p>
            <w:pPr>
              <w:spacing w:after="60" w:line="264" w:lineRule="auto"/>
            </w:pPr>
            <w:r>
              <w:rPr>
                <w:rFonts w:ascii="Calibri" w:hAnsi="Calibri" w:cs="Calibri" w:eastAsia="Calibri"/>
                <w:color w:val="1F2933"/>
                <w:sz w:val="20"/>
              </w:rPr>
              <w:t>Ne doit pas changer : les adresses des douze pages qui reçoivent le plus de trafic, et le ton des textes, réécrits par la direction en 2025.</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2. La mesure avant refonte, à relever maintenant</w:t>
      </w:r>
    </w:p>
    <w:p>
      <w:pPr>
        <w:pStyle w:val="EtiquetteADW"/>
      </w:pPr>
      <w:r>
        <w:t>Ce qu’on attend ici</w:t>
      </w:r>
    </w:p>
    <w:p>
      <w:pPr>
        <w:spacing w:after="120"/>
      </w:pPr>
      <w:r>
        <w:rPr>
          <w:rFonts w:ascii="Calibri" w:hAnsi="Calibri" w:cs="Calibri" w:eastAsia="Calibri"/>
          <w:color w:val="1F2933"/>
          <w:sz w:val="21"/>
        </w:rPr>
        <w:t>C’est la section la plus vite écrite et la plus souvent sautée. Relevez vos chiffres actuels avant que le site change : trafic mensuel, pages les plus vues, demandes reçues, conversions, requêtes qui amènent des visiteurs. Ce relevé a deux usages, et les deux sont décisifs.</w:t>
      </w:r>
    </w:p>
    <w:p>
      <w:pPr>
        <w:spacing w:after="120"/>
      </w:pPr>
      <w:r>
        <w:rPr>
          <w:rFonts w:ascii="Calibri" w:hAnsi="Calibri" w:cs="Calibri" w:eastAsia="Calibri"/>
          <w:color w:val="1F2933"/>
          <w:sz w:val="21"/>
        </w:rPr>
        <w:t>Le premier est de démontrer ce que la refonte a produit. Sans point de départ, la discussion de fin de projet tourne aux impressions, et personne ne peut dire si l’investissement a servi. Le second est de diagnostiquer une chute. Une refonte fait mécaniquement bouger le trafic pendant quelques semaines ; savoir d’où l’on part est la seule façon de distinguer un creux normal d’une redirection manquée.</w:t>
      </w:r>
    </w:p>
    <w:p>
      <w:pPr>
        <w:spacing w:after="120"/>
      </w:pPr>
      <w:r>
        <w:rPr>
          <w:rFonts w:ascii="Calibri" w:hAnsi="Calibri" w:cs="Calibri" w:eastAsia="Calibri"/>
          <w:color w:val="1F2933"/>
          <w:sz w:val="21"/>
        </w:rPr>
        <w:t>Faites ce relevé sur douze mois, pas sur le mois en cours : beaucoup d’activités sont saisonnières, et comparer un mois de janvier à un mois de mai ne prouve rien.</w:t>
      </w:r>
    </w:p>
    <w:p>
      <w:pPr>
        <w:pStyle w:val="EtiquetteADW"/>
      </w:pPr>
      <w:r>
        <w:t>Les points à couvrir</w:t>
      </w:r>
    </w:p>
    <w:p>
      <w:pPr>
        <w:pStyle w:val="ListBullet"/>
      </w:pPr>
      <w:r>
        <w:rPr>
          <w:rFonts w:ascii="Calibri" w:hAnsi="Calibri" w:cs="Calibri" w:eastAsia="Calibri"/>
          <w:color w:val="1F2933"/>
          <w:sz w:val="21"/>
        </w:rPr>
        <w:t>Trafic mensuel sur douze mois, et sa source.</w:t>
      </w:r>
    </w:p>
    <w:p>
      <w:pPr>
        <w:pStyle w:val="ListBullet"/>
      </w:pPr>
      <w:r>
        <w:rPr>
          <w:rFonts w:ascii="Calibri" w:hAnsi="Calibri" w:cs="Calibri" w:eastAsia="Calibri"/>
          <w:color w:val="1F2933"/>
          <w:sz w:val="21"/>
        </w:rPr>
        <w:t>Les vingt pages qui reçoivent le plus de visites.</w:t>
      </w:r>
    </w:p>
    <w:p>
      <w:pPr>
        <w:pStyle w:val="ListBullet"/>
      </w:pPr>
      <w:r>
        <w:rPr>
          <w:rFonts w:ascii="Calibri" w:hAnsi="Calibri" w:cs="Calibri" w:eastAsia="Calibri"/>
          <w:color w:val="1F2933"/>
          <w:sz w:val="21"/>
        </w:rPr>
        <w:t>Les requêtes qui amènent le plus de visiteurs, et leur position.</w:t>
      </w:r>
    </w:p>
    <w:p>
      <w:pPr>
        <w:pStyle w:val="ListBullet"/>
      </w:pPr>
      <w:r>
        <w:rPr>
          <w:rFonts w:ascii="Calibri" w:hAnsi="Calibri" w:cs="Calibri" w:eastAsia="Calibri"/>
          <w:color w:val="1F2933"/>
          <w:sz w:val="21"/>
        </w:rPr>
        <w:t>Nombre de demandes, de devis ou de ventes par mois.</w:t>
      </w:r>
    </w:p>
    <w:p>
      <w:pPr>
        <w:pStyle w:val="ListBullet"/>
      </w:pPr>
      <w:r>
        <w:rPr>
          <w:rFonts w:ascii="Calibri" w:hAnsi="Calibri" w:cs="Calibri" w:eastAsia="Calibri"/>
          <w:color w:val="1F2933"/>
          <w:sz w:val="21"/>
        </w:rPr>
        <w:t>Taux de conversion actuel, s’il est mesuré.</w:t>
      </w:r>
    </w:p>
    <w:p>
      <w:pPr>
        <w:pStyle w:val="ListBullet"/>
      </w:pPr>
      <w:r>
        <w:rPr>
          <w:rFonts w:ascii="Calibri" w:hAnsi="Calibri" w:cs="Calibri" w:eastAsia="Calibri"/>
          <w:color w:val="1F2933"/>
          <w:sz w:val="21"/>
        </w:rPr>
        <w:t>Qui détient les accès aux outils de mesure, nominativement.</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Relevé sur douze mois : 1 840 visites par mois en moyenne, pic à 3 100 en mai, creux à 900 en août. Source : outil de mesure d’audience du site.</w:t>
            </w:r>
          </w:p>
          <w:p>
            <w:pPr>
              <w:spacing w:after="60" w:line="264" w:lineRule="auto"/>
            </w:pPr>
            <w:r>
              <w:rPr>
                <w:rFonts w:ascii="Calibri" w:hAnsi="Calibri" w:cs="Calibri" w:eastAsia="Calibri"/>
                <w:color w:val="1F2933"/>
                <w:sz w:val="20"/>
              </w:rPr>
              <w:t>Douze pages concentrent 71 % des visites ; les quatre premières sont des pages de prestation, pas l’accueil.</w:t>
            </w:r>
          </w:p>
          <w:p>
            <w:pPr>
              <w:spacing w:after="60" w:line="264" w:lineRule="auto"/>
            </w:pPr>
            <w:r>
              <w:rPr>
                <w:rFonts w:ascii="Calibri" w:hAnsi="Calibri" w:cs="Calibri" w:eastAsia="Calibri"/>
                <w:color w:val="1F2933"/>
                <w:sz w:val="20"/>
              </w:rPr>
              <w:t>Demandes de devis : 23 par mois en moyenne, comptées dans la boîte de réception.</w:t>
            </w:r>
          </w:p>
          <w:p>
            <w:pPr>
              <w:spacing w:after="60" w:line="264" w:lineRule="auto"/>
            </w:pPr>
            <w:r>
              <w:rPr>
                <w:rFonts w:ascii="Calibri" w:hAnsi="Calibri" w:cs="Calibri" w:eastAsia="Calibri"/>
                <w:color w:val="1F2933"/>
                <w:sz w:val="20"/>
              </w:rPr>
              <w:t>Accès aux outils de mesure détenus par l’ancien prestataire : à récupérer avant le démarrage.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3. L’inventaire des adresses et le plan de redirections</w:t>
      </w:r>
    </w:p>
    <w:p>
      <w:pPr>
        <w:pStyle w:val="EtiquetteADW"/>
      </w:pPr>
      <w:r>
        <w:t>Ce qu’on attend ici</w:t>
      </w:r>
    </w:p>
    <w:p>
      <w:pPr>
        <w:spacing w:after="120"/>
      </w:pPr>
      <w:r>
        <w:rPr>
          <w:rFonts w:ascii="Calibri" w:hAnsi="Calibri" w:cs="Calibri" w:eastAsia="Calibri"/>
          <w:color w:val="1F2933"/>
          <w:sz w:val="21"/>
        </w:rPr>
        <w:t>Chaque adresse publique du site actuel doit être inventoriée, y compris celles qui ne figurent dans aucun menu : anciens articles, pages de campagne, fichiers à télécharger, pages de résultats. Elles sont dans les moteurs, dans les favoris, dans des signatures de courriel et parfois sur des documents imprimés.</w:t>
      </w:r>
    </w:p>
    <w:p>
      <w:pPr>
        <w:spacing w:after="120"/>
      </w:pPr>
      <w:r>
        <w:rPr>
          <w:rFonts w:ascii="Calibri" w:hAnsi="Calibri" w:cs="Calibri" w:eastAsia="Calibri"/>
          <w:color w:val="1F2933"/>
          <w:sz w:val="21"/>
        </w:rPr>
        <w:t>Le plan de redirections est un livrable contractuel, pas une formalité de fin de chantier. Chaque ancienne adresse pointe vers son équivalent, ou vers la page de rattachement la plus proche, en redirection permanente. Rediriger tout vers l’accueil est la façon la plus rapide de perdre l’antériorité acquise : c’est techniquement une redirection, et fonctionnellement une page introuvable.</w:t>
      </w:r>
    </w:p>
    <w:p>
      <w:pPr>
        <w:spacing w:after="120"/>
      </w:pPr>
      <w:r>
        <w:rPr>
          <w:rFonts w:ascii="Calibri" w:hAnsi="Calibri" w:cs="Calibri" w:eastAsia="Calibri"/>
          <w:color w:val="1F2933"/>
          <w:sz w:val="21"/>
        </w:rPr>
        <w:t>Exigez la vérification le jour de la bascule, pas un mois après. Une redirection oubliée se constate quatre à huit semaines plus tard, quand l’équipe projet est passée à autre chose et que la perte est déjà installée.</w:t>
      </w:r>
    </w:p>
    <w:p>
      <w:pPr>
        <w:pStyle w:val="EtiquetteADW"/>
      </w:pPr>
      <w:r>
        <w:t>Les points à couvrir</w:t>
      </w:r>
    </w:p>
    <w:p>
      <w:pPr>
        <w:pStyle w:val="ListBullet"/>
      </w:pPr>
      <w:r>
        <w:rPr>
          <w:rFonts w:ascii="Calibri" w:hAnsi="Calibri" w:cs="Calibri" w:eastAsia="Calibri"/>
          <w:color w:val="1F2933"/>
          <w:sz w:val="21"/>
        </w:rPr>
        <w:t>Le nombre d’adresses publiques existantes, et comment il a été obtenu.</w:t>
      </w:r>
    </w:p>
    <w:p>
      <w:pPr>
        <w:pStyle w:val="ListBullet"/>
      </w:pPr>
      <w:r>
        <w:rPr>
          <w:rFonts w:ascii="Calibri" w:hAnsi="Calibri" w:cs="Calibri" w:eastAsia="Calibri"/>
          <w:color w:val="1F2933"/>
          <w:sz w:val="21"/>
        </w:rPr>
        <w:t>Les adresses à conserver à l’identique, listées.</w:t>
      </w:r>
    </w:p>
    <w:p>
      <w:pPr>
        <w:pStyle w:val="ListBullet"/>
      </w:pPr>
      <w:r>
        <w:rPr>
          <w:rFonts w:ascii="Calibri" w:hAnsi="Calibri" w:cs="Calibri" w:eastAsia="Calibri"/>
          <w:color w:val="1F2933"/>
          <w:sz w:val="21"/>
        </w:rPr>
        <w:t>Le plan de redirections comme livrable, avec sa date de vérification.</w:t>
      </w:r>
    </w:p>
    <w:p>
      <w:pPr>
        <w:pStyle w:val="ListBullet"/>
      </w:pPr>
      <w:r>
        <w:rPr>
          <w:rFonts w:ascii="Calibri" w:hAnsi="Calibri" w:cs="Calibri" w:eastAsia="Calibri"/>
          <w:color w:val="1F2933"/>
          <w:sz w:val="21"/>
        </w:rPr>
        <w:t>Le sort des fichiers téléchargeables déjà diffusés.</w:t>
      </w:r>
    </w:p>
    <w:p>
      <w:pPr>
        <w:pStyle w:val="ListBullet"/>
      </w:pPr>
      <w:r>
        <w:rPr>
          <w:rFonts w:ascii="Calibri" w:hAnsi="Calibri" w:cs="Calibri" w:eastAsia="Calibri"/>
          <w:color w:val="1F2933"/>
          <w:sz w:val="21"/>
        </w:rPr>
        <w:t>Les liens entrants connus depuis des sites tiers.</w:t>
      </w:r>
    </w:p>
    <w:p>
      <w:pPr>
        <w:pStyle w:val="ListBullet"/>
      </w:pPr>
      <w:r>
        <w:rPr>
          <w:rFonts w:ascii="Calibri" w:hAnsi="Calibri" w:cs="Calibri" w:eastAsia="Calibri"/>
          <w:color w:val="1F2933"/>
          <w:sz w:val="21"/>
        </w:rPr>
        <w:t>Qui vérifie, et avec quel outil.</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Inventaire : 34 adresses publiques, obtenues par export du plan de site et recoupement avec l’outil de mesure.</w:t>
            </w:r>
          </w:p>
          <w:p>
            <w:pPr>
              <w:spacing w:after="60" w:line="264" w:lineRule="auto"/>
            </w:pPr>
            <w:r>
              <w:rPr>
                <w:rFonts w:ascii="Calibri" w:hAnsi="Calibri" w:cs="Calibri" w:eastAsia="Calibri"/>
                <w:color w:val="1F2933"/>
                <w:sz w:val="20"/>
              </w:rPr>
              <w:t>À conserver à l’identique : les quatre pages de prestation qui reçoivent le plus de trafic, et la page de contact.</w:t>
            </w:r>
          </w:p>
          <w:p>
            <w:pPr>
              <w:spacing w:after="60" w:line="264" w:lineRule="auto"/>
            </w:pPr>
            <w:r>
              <w:rPr>
                <w:rFonts w:ascii="Calibri" w:hAnsi="Calibri" w:cs="Calibri" w:eastAsia="Calibri"/>
                <w:color w:val="1F2933"/>
                <w:sz w:val="20"/>
              </w:rPr>
              <w:t>Plan de redirections attendu comme livrable, vérifié le jour de la bascule par le prestataire et contre-vérifié par le client la semaine suivante.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4. Le sort de chaque contenu existant</w:t>
      </w:r>
    </w:p>
    <w:p>
      <w:pPr>
        <w:pStyle w:val="EtiquetteADW"/>
      </w:pPr>
      <w:r>
        <w:t>Ce qu’on attend ici</w:t>
      </w:r>
    </w:p>
    <w:p>
      <w:pPr>
        <w:spacing w:after="120"/>
      </w:pPr>
      <w:r>
        <w:rPr>
          <w:rFonts w:ascii="Calibri" w:hAnsi="Calibri" w:cs="Calibri" w:eastAsia="Calibri"/>
          <w:color w:val="1F2933"/>
          <w:sz w:val="21"/>
        </w:rPr>
        <w:t>Quatre décisions possibles pour chaque contenu, et une seule par ligne : repris tel quel, réécrit, fusionné avec un autre, supprimé. Cette décision vous appartient, elle ne se délègue pas : le prestataire ne connaît ni la valeur commerciale de vos textes, ni ce qui est devenu faux.</w:t>
      </w:r>
    </w:p>
    <w:p>
      <w:pPr>
        <w:spacing w:after="120"/>
      </w:pPr>
      <w:r>
        <w:rPr>
          <w:rFonts w:ascii="Calibri" w:hAnsi="Calibri" w:cs="Calibri" w:eastAsia="Calibri"/>
          <w:color w:val="1F2933"/>
          <w:sz w:val="21"/>
        </w:rPr>
        <w:t>C’est le poste le plus sous-estimé d’une refonte, et il se compte en semaines, pas en heures. Deux mille fiches produits à reprendre, c’est un travail réel qui appartient à quelqu’un. Écrivez qui : vous, le prestataire, un tiers. Un site techniquement livré mais vide n’est pas un site livré.</w:t>
      </w:r>
    </w:p>
    <w:p>
      <w:pPr>
        <w:spacing w:after="120"/>
      </w:pPr>
      <w:r>
        <w:rPr>
          <w:rFonts w:ascii="Calibri" w:hAnsi="Calibri" w:cs="Calibri" w:eastAsia="Calibri"/>
          <w:color w:val="1F2933"/>
          <w:sz w:val="21"/>
        </w:rPr>
        <w:t>Profitez-en pour supprimer. Une refonte est la seule occasion naturelle de se débarrasser des pages que plus personne ne lit. Croiser votre inventaire avec le relevé de la section 2 rend la décision facile : une page sans visite depuis douze mois et sans valeur commerciale n’a pas besoin d’être migrée.</w:t>
      </w:r>
    </w:p>
    <w:p>
      <w:pPr>
        <w:pStyle w:val="EtiquetteADW"/>
      </w:pPr>
      <w:r>
        <w:t>Les points à couvrir</w:t>
      </w:r>
    </w:p>
    <w:p>
      <w:pPr>
        <w:pStyle w:val="ListBullet"/>
      </w:pPr>
      <w:r>
        <w:rPr>
          <w:rFonts w:ascii="Calibri" w:hAnsi="Calibri" w:cs="Calibri" w:eastAsia="Calibri"/>
          <w:color w:val="1F2933"/>
          <w:sz w:val="21"/>
        </w:rPr>
        <w:t>Le volume de contenus à traiter, par type.</w:t>
      </w:r>
    </w:p>
    <w:p>
      <w:pPr>
        <w:pStyle w:val="ListBullet"/>
      </w:pPr>
      <w:r>
        <w:rPr>
          <w:rFonts w:ascii="Calibri" w:hAnsi="Calibri" w:cs="Calibri" w:eastAsia="Calibri"/>
          <w:color w:val="1F2933"/>
          <w:sz w:val="21"/>
        </w:rPr>
        <w:t>La décision pour chacun : repris, réécrit, fusionné, supprimé.</w:t>
      </w:r>
    </w:p>
    <w:p>
      <w:pPr>
        <w:pStyle w:val="ListBullet"/>
      </w:pPr>
      <w:r>
        <w:rPr>
          <w:rFonts w:ascii="Calibri" w:hAnsi="Calibri" w:cs="Calibri" w:eastAsia="Calibri"/>
          <w:color w:val="1F2933"/>
          <w:sz w:val="21"/>
        </w:rPr>
        <w:t>Qui produit ou réécrit, et dans quel délai.</w:t>
      </w:r>
    </w:p>
    <w:p>
      <w:pPr>
        <w:pStyle w:val="ListBullet"/>
      </w:pPr>
      <w:r>
        <w:rPr>
          <w:rFonts w:ascii="Calibri" w:hAnsi="Calibri" w:cs="Calibri" w:eastAsia="Calibri"/>
          <w:color w:val="1F2933"/>
          <w:sz w:val="21"/>
        </w:rPr>
        <w:t>Le format de départ des contenus et leur état réel.</w:t>
      </w:r>
    </w:p>
    <w:p>
      <w:pPr>
        <w:pStyle w:val="ListBullet"/>
      </w:pPr>
      <w:r>
        <w:rPr>
          <w:rFonts w:ascii="Calibri" w:hAnsi="Calibri" w:cs="Calibri" w:eastAsia="Calibri"/>
          <w:color w:val="1F2933"/>
          <w:sz w:val="21"/>
        </w:rPr>
        <w:t>Les médias à reprendre, et leurs droits d’usage.</w:t>
      </w:r>
    </w:p>
    <w:p>
      <w:pPr>
        <w:pStyle w:val="ListBullet"/>
      </w:pPr>
      <w:r>
        <w:rPr>
          <w:rFonts w:ascii="Calibri" w:hAnsi="Calibri" w:cs="Calibri" w:eastAsia="Calibri"/>
          <w:color w:val="1F2933"/>
          <w:sz w:val="21"/>
        </w:rPr>
        <w:t>Les contenus soumis à validation avant publication.</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Volume : 7 pages éditoriales, 38 articles, 120 photos.</w:t>
            </w:r>
          </w:p>
          <w:p>
            <w:pPr>
              <w:spacing w:after="60" w:line="264" w:lineRule="auto"/>
            </w:pPr>
            <w:r>
              <w:rPr>
                <w:rFonts w:ascii="Calibri" w:hAnsi="Calibri" w:cs="Calibri" w:eastAsia="Calibri"/>
                <w:color w:val="1F2933"/>
                <w:sz w:val="20"/>
              </w:rPr>
              <w:t>Décisions : 7 pages réécrites par la direction, 12 articles repris tels quels, 9 fusionnés en 3, 17 supprimés faute de visite depuis douze mois.</w:t>
            </w:r>
          </w:p>
          <w:p>
            <w:pPr>
              <w:spacing w:after="60" w:line="264" w:lineRule="auto"/>
            </w:pPr>
            <w:r>
              <w:rPr>
                <w:rFonts w:ascii="Calibri" w:hAnsi="Calibri" w:cs="Calibri" w:eastAsia="Calibri"/>
                <w:color w:val="1F2933"/>
                <w:sz w:val="20"/>
              </w:rPr>
              <w:t>Photos : 120 à reprendre, dont 40 sans droits d’usage documentés, à remplacer.</w:t>
            </w:r>
          </w:p>
          <w:p>
            <w:pPr>
              <w:spacing w:after="60" w:line="264" w:lineRule="auto"/>
            </w:pPr>
            <w:r>
              <w:rPr>
                <w:rFonts w:ascii="Calibri" w:hAnsi="Calibri" w:cs="Calibri" w:eastAsia="Calibri"/>
                <w:color w:val="1F2933"/>
                <w:sz w:val="20"/>
              </w:rPr>
              <w:t>Réécriture assurée en interne, deux pages par semaine, soit quatre semaines.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5. Ce qui fonctionne aujourd’hui et ne doit pas bouger</w:t>
      </w:r>
    </w:p>
    <w:p>
      <w:pPr>
        <w:pStyle w:val="EtiquetteADW"/>
      </w:pPr>
      <w:r>
        <w:t>Ce qu’on attend ici</w:t>
      </w:r>
    </w:p>
    <w:p>
      <w:pPr>
        <w:spacing w:after="120"/>
      </w:pPr>
      <w:r>
        <w:rPr>
          <w:rFonts w:ascii="Calibri" w:hAnsi="Calibri" w:cs="Calibri" w:eastAsia="Calibri"/>
          <w:color w:val="1F2933"/>
          <w:sz w:val="21"/>
        </w:rPr>
        <w:t>Un projet qui n’écrit pas ce qui marche le casse une fois sur deux. Une refonte change tout par défaut, et le confort acquis disparaît sans que personne l’ait décidé : une habitude de vos clients, un parcours court qui fonctionnait, un formulaire que votre équipe savait traiter, une page qui ramène des demandes depuis trois ans.</w:t>
      </w:r>
    </w:p>
    <w:p>
      <w:pPr>
        <w:spacing w:after="120"/>
      </w:pPr>
      <w:r>
        <w:rPr>
          <w:rFonts w:ascii="Calibri" w:hAnsi="Calibri" w:cs="Calibri" w:eastAsia="Calibri"/>
          <w:color w:val="1F2933"/>
          <w:sz w:val="21"/>
        </w:rPr>
        <w:t>Listez donc ce qui doit survivre, et dites pourquoi. C’est une section courte, elle se remplit en dix minutes avec les personnes qui utilisent le site tous les jours, et elle évite des discussions de fin de projet où plus personne ne se souvient de ce que faisait l’ancien site.</w:t>
      </w:r>
    </w:p>
    <w:p>
      <w:pPr>
        <w:pStyle w:val="EtiquetteADW"/>
      </w:pPr>
      <w:r>
        <w:t>Les points à couvrir</w:t>
      </w:r>
    </w:p>
    <w:p>
      <w:pPr>
        <w:pStyle w:val="ListBullet"/>
      </w:pPr>
      <w:r>
        <w:rPr>
          <w:rFonts w:ascii="Calibri" w:hAnsi="Calibri" w:cs="Calibri" w:eastAsia="Calibri"/>
          <w:color w:val="1F2933"/>
          <w:sz w:val="21"/>
        </w:rPr>
        <w:t>Les pages qui ramènent des demandes, à conserver en l’état ou à améliorer sans rupture.</w:t>
      </w:r>
    </w:p>
    <w:p>
      <w:pPr>
        <w:pStyle w:val="ListBullet"/>
      </w:pPr>
      <w:r>
        <w:rPr>
          <w:rFonts w:ascii="Calibri" w:hAnsi="Calibri" w:cs="Calibri" w:eastAsia="Calibri"/>
          <w:color w:val="1F2933"/>
          <w:sz w:val="21"/>
        </w:rPr>
        <w:t>Les parcours courts qui fonctionnent, à ne pas rallonger.</w:t>
      </w:r>
    </w:p>
    <w:p>
      <w:pPr>
        <w:pStyle w:val="ListBullet"/>
      </w:pPr>
      <w:r>
        <w:rPr>
          <w:rFonts w:ascii="Calibri" w:hAnsi="Calibri" w:cs="Calibri" w:eastAsia="Calibri"/>
          <w:color w:val="1F2933"/>
          <w:sz w:val="21"/>
        </w:rPr>
        <w:t>Les habitudes prises par vos clients réguliers.</w:t>
      </w:r>
    </w:p>
    <w:p>
      <w:pPr>
        <w:pStyle w:val="ListBullet"/>
      </w:pPr>
      <w:r>
        <w:rPr>
          <w:rFonts w:ascii="Calibri" w:hAnsi="Calibri" w:cs="Calibri" w:eastAsia="Calibri"/>
          <w:color w:val="1F2933"/>
          <w:sz w:val="21"/>
        </w:rPr>
        <w:t>Les circuits internes rodés, côté équipe.</w:t>
      </w:r>
    </w:p>
    <w:p>
      <w:pPr>
        <w:pStyle w:val="ListBullet"/>
      </w:pPr>
      <w:r>
        <w:rPr>
          <w:rFonts w:ascii="Calibri" w:hAnsi="Calibri" w:cs="Calibri" w:eastAsia="Calibri"/>
          <w:color w:val="1F2933"/>
          <w:sz w:val="21"/>
        </w:rPr>
        <w:t>Les éléments de marque reconnus, à conserver.</w:t>
      </w:r>
    </w:p>
    <w:p>
      <w:pPr>
        <w:pStyle w:val="ListBullet"/>
      </w:pPr>
      <w:r>
        <w:rPr>
          <w:rFonts w:ascii="Calibri" w:hAnsi="Calibri" w:cs="Calibri" w:eastAsia="Calibri"/>
          <w:color w:val="1F2933"/>
          <w:sz w:val="21"/>
        </w:rPr>
        <w:t>Ce que vos utilisateurs disent du site actuel, dans leurs mots.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La page « Diagnostic gratuit » ramène 14 des 23 demandes mensuelles : son adresse et son formulaire ne changent pas.</w:t>
            </w:r>
          </w:p>
          <w:p>
            <w:pPr>
              <w:spacing w:after="60" w:line="264" w:lineRule="auto"/>
            </w:pPr>
            <w:r>
              <w:rPr>
                <w:rFonts w:ascii="Calibri" w:hAnsi="Calibri" w:cs="Calibri" w:eastAsia="Calibri"/>
                <w:color w:val="1F2933"/>
                <w:sz w:val="20"/>
              </w:rPr>
              <w:t>Le formulaire actuel tient en quatre champs. Aucune raison d’en ajouter.</w:t>
            </w:r>
          </w:p>
          <w:p>
            <w:pPr>
              <w:spacing w:after="60" w:line="264" w:lineRule="auto"/>
            </w:pPr>
            <w:r>
              <w:rPr>
                <w:rFonts w:ascii="Calibri" w:hAnsi="Calibri" w:cs="Calibri" w:eastAsia="Calibri"/>
                <w:color w:val="1F2933"/>
                <w:sz w:val="20"/>
              </w:rPr>
              <w:t>Les clients réguliers appellent directement le numéro affiché en tête de page : il reste visible sans défilement.</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6. La nouvelle structure et ce qu’elle change</w:t>
      </w:r>
    </w:p>
    <w:p>
      <w:pPr>
        <w:pStyle w:val="EtiquetteADW"/>
      </w:pPr>
      <w:r>
        <w:t>Ce qu’on attend ici</w:t>
      </w:r>
    </w:p>
    <w:p>
      <w:pPr>
        <w:spacing w:after="120"/>
      </w:pPr>
      <w:r>
        <w:rPr>
          <w:rFonts w:ascii="Calibri" w:hAnsi="Calibri" w:cs="Calibri" w:eastAsia="Calibri"/>
          <w:color w:val="1F2933"/>
          <w:sz w:val="21"/>
        </w:rPr>
        <w:t>Décrivez l’arborescence visée et le nombre de gabarits à produire. Sur une refonte, ce travail se fait en regardant les données de la section 2 : les pages qui reçoivent du trafic ont gagné leur place, celles qui n’en reçoivent pas doivent la justifier autrement.</w:t>
      </w:r>
    </w:p>
    <w:p>
      <w:pPr>
        <w:spacing w:after="120"/>
      </w:pPr>
      <w:r>
        <w:rPr>
          <w:rFonts w:ascii="Calibri" w:hAnsi="Calibri" w:cs="Calibri" w:eastAsia="Calibri"/>
          <w:color w:val="1F2933"/>
          <w:sz w:val="21"/>
        </w:rPr>
        <w:t>Précisez pour chaque rubrique si elle existe déjà, si elle est nouvelle, ou si elle disparaît. Une rubrique qui disparaît entraîne des redirections, une rubrique nouvelle entraîne des contenus à produire : les deux se chiffrent, et les confondre fausse le devis.</w:t>
      </w:r>
    </w:p>
    <w:p>
      <w:pPr>
        <w:pStyle w:val="EtiquetteADW"/>
      </w:pPr>
      <w:r>
        <w:t>Les points à couvrir</w:t>
      </w:r>
    </w:p>
    <w:p>
      <w:pPr>
        <w:pStyle w:val="ListBullet"/>
      </w:pPr>
      <w:r>
        <w:rPr>
          <w:rFonts w:ascii="Calibri" w:hAnsi="Calibri" w:cs="Calibri" w:eastAsia="Calibri"/>
          <w:color w:val="1F2933"/>
          <w:sz w:val="21"/>
        </w:rPr>
        <w:t>L’arborescence visée, en trois niveaux au maximum.</w:t>
      </w:r>
    </w:p>
    <w:p>
      <w:pPr>
        <w:pStyle w:val="ListBullet"/>
      </w:pPr>
      <w:r>
        <w:rPr>
          <w:rFonts w:ascii="Calibri" w:hAnsi="Calibri" w:cs="Calibri" w:eastAsia="Calibri"/>
          <w:color w:val="1F2933"/>
          <w:sz w:val="21"/>
        </w:rPr>
        <w:t>Pour chaque rubrique : conservée, nouvelle, supprimée, fusionnée.</w:t>
      </w:r>
    </w:p>
    <w:p>
      <w:pPr>
        <w:pStyle w:val="ListBullet"/>
      </w:pPr>
      <w:r>
        <w:rPr>
          <w:rFonts w:ascii="Calibri" w:hAnsi="Calibri" w:cs="Calibri" w:eastAsia="Calibri"/>
          <w:color w:val="1F2933"/>
          <w:sz w:val="21"/>
        </w:rPr>
        <w:t>Le nombre de gabarits à concevoir, et non le nombre de pages.</w:t>
      </w:r>
    </w:p>
    <w:p>
      <w:pPr>
        <w:pStyle w:val="ListBullet"/>
      </w:pPr>
      <w:r>
        <w:rPr>
          <w:rFonts w:ascii="Calibri" w:hAnsi="Calibri" w:cs="Calibri" w:eastAsia="Calibri"/>
          <w:color w:val="1F2933"/>
          <w:sz w:val="21"/>
        </w:rPr>
        <w:t>Les parcours qui changent, et ceux qui ne changent pas.</w:t>
      </w:r>
    </w:p>
    <w:p>
      <w:pPr>
        <w:pStyle w:val="ListBullet"/>
      </w:pPr>
      <w:r>
        <w:rPr>
          <w:rFonts w:ascii="Calibri" w:hAnsi="Calibri" w:cs="Calibri" w:eastAsia="Calibri"/>
          <w:color w:val="1F2933"/>
          <w:sz w:val="21"/>
        </w:rPr>
        <w:t>Les fonctions ajoutées par rapport au site actuel.</w:t>
      </w:r>
    </w:p>
    <w:p>
      <w:pPr>
        <w:pStyle w:val="ListBullet"/>
      </w:pPr>
      <w:r>
        <w:rPr>
          <w:rFonts w:ascii="Calibri" w:hAnsi="Calibri" w:cs="Calibri" w:eastAsia="Calibri"/>
          <w:color w:val="1F2933"/>
          <w:sz w:val="21"/>
        </w:rPr>
        <w:t>Les fonctions supprimées, et ce qu’on fait de leurs données.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Arborescence visée : Accueil, Prestations (4 sous-pages), Réalisations, Diagnostic gratuit, L’entreprise, Contact.</w:t>
            </w:r>
          </w:p>
          <w:p>
            <w:pPr>
              <w:spacing w:after="60" w:line="264" w:lineRule="auto"/>
            </w:pPr>
            <w:r>
              <w:rPr>
                <w:rFonts w:ascii="Calibri" w:hAnsi="Calibri" w:cs="Calibri" w:eastAsia="Calibri"/>
                <w:color w:val="1F2933"/>
                <w:sz w:val="20"/>
              </w:rPr>
              <w:t>Supprimée : la rubrique « Actualités », 17 articles sans visite depuis douze mois, redirigée vers la page de prestation correspondante.</w:t>
            </w:r>
          </w:p>
          <w:p>
            <w:pPr>
              <w:spacing w:after="60" w:line="264" w:lineRule="auto"/>
            </w:pPr>
            <w:r>
              <w:rPr>
                <w:rFonts w:ascii="Calibri" w:hAnsi="Calibri" w:cs="Calibri" w:eastAsia="Calibri"/>
                <w:color w:val="1F2933"/>
                <w:sz w:val="20"/>
              </w:rPr>
              <w:t>Nouvelle : la page « Aides et financements », qui n’existait pas et répond à une question posée à chaque appel.</w:t>
            </w:r>
          </w:p>
          <w:p>
            <w:pPr>
              <w:spacing w:after="60" w:line="264" w:lineRule="auto"/>
            </w:pPr>
            <w:r>
              <w:rPr>
                <w:rFonts w:ascii="Calibri" w:hAnsi="Calibri" w:cs="Calibri" w:eastAsia="Calibri"/>
                <w:color w:val="1F2933"/>
                <w:sz w:val="20"/>
              </w:rPr>
              <w:t>Gabarits : 6 au total, contre 4 aujourd’hui.</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7. Les comptes, les données et les intégrations existantes</w:t>
      </w:r>
    </w:p>
    <w:p>
      <w:pPr>
        <w:pStyle w:val="EtiquetteADW"/>
      </w:pPr>
      <w:r>
        <w:t>Ce qu’on attend ici</w:t>
      </w:r>
    </w:p>
    <w:p>
      <w:pPr>
        <w:spacing w:after="120"/>
      </w:pPr>
      <w:r>
        <w:rPr>
          <w:rFonts w:ascii="Calibri" w:hAnsi="Calibri" w:cs="Calibri" w:eastAsia="Calibri"/>
          <w:color w:val="1F2933"/>
          <w:sz w:val="21"/>
        </w:rPr>
        <w:t>Si le site actuel porte des comptes utilisateurs, leur sort se décide tôt, et c’est une décision de direction. Un mot de passe ne se migre pas toujours : selon la façon dont il est stocké, il peut être techniquement impossible de le transférer, et il faudra alors demander à chaque utilisateur d’en choisir un nouveau. Prévenir trois mille personnes est un projet de communication, pas une ligne de développement.</w:t>
      </w:r>
    </w:p>
    <w:p>
      <w:pPr>
        <w:spacing w:after="120"/>
      </w:pPr>
      <w:r>
        <w:rPr>
          <w:rFonts w:ascii="Calibri" w:hAnsi="Calibri" w:cs="Calibri" w:eastAsia="Calibri"/>
          <w:color w:val="1F2933"/>
          <w:sz w:val="21"/>
        </w:rPr>
        <w:t>Listez ensuite les données à reprendre : commandes, dossiers, documents, historiques. Pour chacune, dites ce qui est repris, sur quelle profondeur, et sous quelle forme. Une reprise sur trois ans ne coûte pas la même chose qu’une reprise complète, et la profondeur utile se décide avec le métier.</w:t>
      </w:r>
    </w:p>
    <w:p>
      <w:pPr>
        <w:spacing w:after="120"/>
      </w:pPr>
      <w:r>
        <w:rPr>
          <w:rFonts w:ascii="Calibri" w:hAnsi="Calibri" w:cs="Calibri" w:eastAsia="Calibri"/>
          <w:color w:val="1F2933"/>
          <w:sz w:val="21"/>
        </w:rPr>
        <w:t>Recensez enfin les intégrations déjà en place et ce qu’elles deviennent. Un outil branché sur l’ancien site continue d’exister le lendemain de la bascule : il faut soit le rebrancher, soit l’arrêter proprement, jamais le laisser pointer dans le vide.</w:t>
      </w:r>
    </w:p>
    <w:p>
      <w:pPr>
        <w:pStyle w:val="EtiquetteADW"/>
      </w:pPr>
      <w:r>
        <w:t>Les points à couvrir</w:t>
      </w:r>
    </w:p>
    <w:p>
      <w:pPr>
        <w:pStyle w:val="ListBullet"/>
      </w:pPr>
      <w:r>
        <w:rPr>
          <w:rFonts w:ascii="Calibri" w:hAnsi="Calibri" w:cs="Calibri" w:eastAsia="Calibri"/>
          <w:color w:val="1F2933"/>
          <w:sz w:val="21"/>
        </w:rPr>
        <w:t>Le nombre de comptes existants et leur activité réelle.</w:t>
      </w:r>
    </w:p>
    <w:p>
      <w:pPr>
        <w:pStyle w:val="ListBullet"/>
      </w:pPr>
      <w:r>
        <w:rPr>
          <w:rFonts w:ascii="Calibri" w:hAnsi="Calibri" w:cs="Calibri" w:eastAsia="Calibri"/>
          <w:color w:val="1F2933"/>
          <w:sz w:val="21"/>
        </w:rPr>
        <w:t>La possibilité ou non de migrer les mots de passe, et le plan si elle n’existe pas.</w:t>
      </w:r>
    </w:p>
    <w:p>
      <w:pPr>
        <w:pStyle w:val="ListBullet"/>
      </w:pPr>
      <w:r>
        <w:rPr>
          <w:rFonts w:ascii="Calibri" w:hAnsi="Calibri" w:cs="Calibri" w:eastAsia="Calibri"/>
          <w:color w:val="1F2933"/>
          <w:sz w:val="21"/>
        </w:rPr>
        <w:t>Les données à reprendre, leur profondeur et leur format.</w:t>
      </w:r>
    </w:p>
    <w:p>
      <w:pPr>
        <w:pStyle w:val="ListBullet"/>
      </w:pPr>
      <w:r>
        <w:rPr>
          <w:rFonts w:ascii="Calibri" w:hAnsi="Calibri" w:cs="Calibri" w:eastAsia="Calibri"/>
          <w:color w:val="1F2933"/>
          <w:sz w:val="21"/>
        </w:rPr>
        <w:t>Les intégrations existantes : conservées, refaites, arrêtées.</w:t>
      </w:r>
    </w:p>
    <w:p>
      <w:pPr>
        <w:pStyle w:val="ListBullet"/>
      </w:pPr>
      <w:r>
        <w:rPr>
          <w:rFonts w:ascii="Calibri" w:hAnsi="Calibri" w:cs="Calibri" w:eastAsia="Calibri"/>
          <w:color w:val="1F2933"/>
          <w:sz w:val="21"/>
        </w:rPr>
        <w:t>Les outils de mesure et leur continuité d’historique.</w:t>
      </w:r>
    </w:p>
    <w:p>
      <w:pPr>
        <w:pStyle w:val="ListBullet"/>
      </w:pPr>
      <w:r>
        <w:rPr>
          <w:rFonts w:ascii="Calibri" w:hAnsi="Calibri" w:cs="Calibri" w:eastAsia="Calibri"/>
          <w:color w:val="1F2933"/>
          <w:sz w:val="21"/>
        </w:rPr>
        <w:t>Le plan de communication vers les utilisateurs, si le parcours change.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Comptes : 412 comptes existants, dont 180 actifs sur douze mois. Mots de passe non migrables : demande de renouvellement à l’activation, courriel préparé par le client.</w:t>
            </w:r>
          </w:p>
          <w:p>
            <w:pPr>
              <w:spacing w:after="60" w:line="264" w:lineRule="auto"/>
            </w:pPr>
            <w:r>
              <w:rPr>
                <w:rFonts w:ascii="Calibri" w:hAnsi="Calibri" w:cs="Calibri" w:eastAsia="Calibri"/>
                <w:color w:val="1F2933"/>
                <w:sz w:val="20"/>
              </w:rPr>
              <w:t>Données reprises : les demandes des trois dernières années, exportées en tableur puis importées.</w:t>
            </w:r>
          </w:p>
          <w:p>
            <w:pPr>
              <w:spacing w:after="60" w:line="264" w:lineRule="auto"/>
            </w:pPr>
            <w:r>
              <w:rPr>
                <w:rFonts w:ascii="Calibri" w:hAnsi="Calibri" w:cs="Calibri" w:eastAsia="Calibri"/>
                <w:color w:val="1F2933"/>
                <w:sz w:val="20"/>
              </w:rPr>
              <w:t>Intégration existante : un outil de prise de rendez-vous, à rebrancher à l’identique.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8. Exigences transverses, validation et cadre contractuel</w:t>
      </w:r>
    </w:p>
    <w:p>
      <w:pPr>
        <w:pStyle w:val="EtiquetteADW"/>
      </w:pPr>
      <w:r>
        <w:t>Ce qu’on attend ici</w:t>
      </w:r>
    </w:p>
    <w:p>
      <w:pPr>
        <w:spacing w:after="120"/>
      </w:pPr>
      <w:r>
        <w:rPr>
          <w:rFonts w:ascii="Calibri" w:hAnsi="Calibri" w:cs="Calibri" w:eastAsia="Calibri"/>
          <w:color w:val="1F2933"/>
          <w:sz w:val="21"/>
        </w:rPr>
        <w:t>Ces sections sont communes avec un cahier des charges de création et se remplissent de la même façon : visibilité et adresses stables, performance avec une valeur cible mesurable, accessibilité avec le niveau visé et qui teste, données personnelles avec leurs finalités et leurs durées, validation avec des critères d’acceptation écrits avant le développement, cadre contractuel avec la propriété, la réversibilité et la maintenance.</w:t>
      </w:r>
    </w:p>
    <w:p>
      <w:pPr>
        <w:spacing w:after="120"/>
      </w:pPr>
      <w:r>
        <w:rPr>
          <w:rFonts w:ascii="Calibri" w:hAnsi="Calibri" w:cs="Calibri" w:eastAsia="Calibri"/>
          <w:color w:val="1F2933"/>
          <w:sz w:val="21"/>
        </w:rPr>
        <w:t>Une seule différence, mais elle compte : sur une refonte, la validation doit inclure un contrôle explicite du plan de redirections, adresse par adresse, avant la mise en ligne. C’est un critère d’acceptation à part entière, pas une vérification de bonne volonté.</w:t>
      </w:r>
    </w:p>
    <w:p>
      <w:pPr>
        <w:pStyle w:val="EtiquetteADW"/>
      </w:pPr>
      <w:r>
        <w:t>Les points à couvrir</w:t>
      </w:r>
    </w:p>
    <w:p>
      <w:pPr>
        <w:pStyle w:val="ListBullet"/>
      </w:pPr>
      <w:r>
        <w:rPr>
          <w:rFonts w:ascii="Calibri" w:hAnsi="Calibri" w:cs="Calibri" w:eastAsia="Calibri"/>
          <w:color w:val="1F2933"/>
          <w:sz w:val="21"/>
        </w:rPr>
        <w:t>Adresses stables, titres et descriptions modifiables sans intervention technique.</w:t>
      </w:r>
    </w:p>
    <w:p>
      <w:pPr>
        <w:pStyle w:val="ListBullet"/>
      </w:pPr>
      <w:r>
        <w:rPr>
          <w:rFonts w:ascii="Calibri" w:hAnsi="Calibri" w:cs="Calibri" w:eastAsia="Calibri"/>
          <w:color w:val="1F2933"/>
          <w:sz w:val="21"/>
        </w:rPr>
        <w:t>Performance : une valeur cible, l’outil de mesure et l’appareil de référence.</w:t>
      </w:r>
    </w:p>
    <w:p>
      <w:pPr>
        <w:pStyle w:val="ListBullet"/>
      </w:pPr>
      <w:r>
        <w:rPr>
          <w:rFonts w:ascii="Calibri" w:hAnsi="Calibri" w:cs="Calibri" w:eastAsia="Calibri"/>
          <w:color w:val="1F2933"/>
          <w:sz w:val="21"/>
        </w:rPr>
        <w:t>Accessibilité : le niveau visé, qui teste, à quel moment.</w:t>
      </w:r>
    </w:p>
    <w:p>
      <w:pPr>
        <w:pStyle w:val="ListBullet"/>
      </w:pPr>
      <w:r>
        <w:rPr>
          <w:rFonts w:ascii="Calibri" w:hAnsi="Calibri" w:cs="Calibri" w:eastAsia="Calibri"/>
          <w:color w:val="1F2933"/>
          <w:sz w:val="21"/>
        </w:rPr>
        <w:t>Données personnelles : finalités, durées, sous-traitants.</w:t>
      </w:r>
    </w:p>
    <w:p>
      <w:pPr>
        <w:pStyle w:val="ListBullet"/>
      </w:pPr>
      <w:r>
        <w:rPr>
          <w:rFonts w:ascii="Calibri" w:hAnsi="Calibri" w:cs="Calibri" w:eastAsia="Calibri"/>
          <w:color w:val="1F2933"/>
          <w:sz w:val="21"/>
        </w:rPr>
        <w:t>Contrôle du plan de redirections comme critère d’acceptation.</w:t>
      </w:r>
    </w:p>
    <w:p>
      <w:pPr>
        <w:pStyle w:val="ListBullet"/>
      </w:pPr>
      <w:r>
        <w:rPr>
          <w:rFonts w:ascii="Calibri" w:hAnsi="Calibri" w:cs="Calibri" w:eastAsia="Calibri"/>
          <w:color w:val="1F2933"/>
          <w:sz w:val="21"/>
        </w:rPr>
        <w:t>Propriété, réversibilité, maintenance et son prix annuel.</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Critère d’acceptation propre à la refonte : les 34 anciennes adresses répondent en redirection permanente vers leur cible, vérifié une à une avant la bascule.</w:t>
            </w:r>
          </w:p>
          <w:p>
            <w:pPr>
              <w:spacing w:after="60" w:line="264" w:lineRule="auto"/>
            </w:pPr>
            <w:r>
              <w:rPr>
                <w:rFonts w:ascii="Calibri" w:hAnsi="Calibri" w:cs="Calibri" w:eastAsia="Calibri"/>
                <w:color w:val="1F2933"/>
                <w:sz w:val="20"/>
              </w:rPr>
              <w:t>Performance : affichage utile en moins de 2,5 secondes sur mobile, mesuré avec un outil public nommé au dossier.</w:t>
            </w:r>
          </w:p>
          <w:p>
            <w:pPr>
              <w:spacing w:after="60" w:line="264" w:lineRule="auto"/>
            </w:pPr>
            <w:r>
              <w:rPr>
                <w:rFonts w:ascii="Calibri" w:hAnsi="Calibri" w:cs="Calibri" w:eastAsia="Calibri"/>
                <w:color w:val="1F2933"/>
                <w:sz w:val="20"/>
              </w:rPr>
              <w:t>Maintenance : contrat annuel séparé, 10 à 20 % du coût de fabrication selon l’ordre de grandeur publié par le guide.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9. Budget, calendrier et bascule</w:t>
      </w:r>
    </w:p>
    <w:p>
      <w:pPr>
        <w:pStyle w:val="EtiquetteADW"/>
      </w:pPr>
      <w:r>
        <w:t>Ce qu’on attend ici</w:t>
      </w:r>
    </w:p>
    <w:p>
      <w:pPr>
        <w:spacing w:after="120"/>
      </w:pPr>
      <w:r>
        <w:rPr>
          <w:rFonts w:ascii="Calibri" w:hAnsi="Calibri" w:cs="Calibri" w:eastAsia="Calibri"/>
          <w:color w:val="1F2933"/>
          <w:sz w:val="21"/>
        </w:rPr>
        <w:t>Annoncez une fourchette. Une refonte se situe dans les mêmes ordres de grandeur qu’une création, plus les postes de reprise. Les fourchettes que ce guide publie, en euros hors taxes sur le marché français du sur-mesure : site vitrine professionnel sous 10 000 €, site sur mesure de 10 000 à 40 000 €, plateforme web de 40 000 à 120 000 €, projet complexe au-delà, avec une maintenance annuelle de 10 à 20 % du coût de fabrication.</w:t>
      </w:r>
    </w:p>
    <w:p>
      <w:pPr>
        <w:spacing w:after="120"/>
      </w:pPr>
      <w:r>
        <w:rPr>
          <w:rFonts w:ascii="Calibri" w:hAnsi="Calibri" w:cs="Calibri" w:eastAsia="Calibri"/>
          <w:color w:val="1F2933"/>
          <w:sz w:val="21"/>
        </w:rPr>
        <w:t>Sur le calendrier, prévoyez ce qui est propre à la refonte : le temps de décision sur les contenus, qui est interne et long, et la bascule elle-même. Choisissez un jour de faible activité, prévoyez une fenêtre de retour arrière, et gardez l’ancien site accessible en lecture pendant quelques jours.</w:t>
      </w:r>
    </w:p>
    <w:p>
      <w:pPr>
        <w:spacing w:after="120"/>
      </w:pPr>
      <w:r>
        <w:rPr>
          <w:rFonts w:ascii="Calibri" w:hAnsi="Calibri" w:cs="Calibri" w:eastAsia="Calibri"/>
          <w:color w:val="1F2933"/>
          <w:sz w:val="21"/>
        </w:rPr>
        <w:t>Prévoyez enfin le rendez-vous de mesure. Une refonte ne se termine pas le jour de la mise en ligne : elle se termine quand les indicateurs de la section 2 ont été relevés à nouveau, quatre à huit semaines plus tard, et que quelqu’un a écrit ce qui a bougé. Inscrivez cette date au calendrier, sinon elle n’aura pas lieu.</w:t>
      </w:r>
    </w:p>
    <w:p>
      <w:pPr>
        <w:pStyle w:val="EtiquetteADW"/>
      </w:pPr>
      <w:r>
        <w:t>Les points à couvrir</w:t>
      </w:r>
    </w:p>
    <w:p>
      <w:pPr>
        <w:pStyle w:val="ListBullet"/>
      </w:pPr>
      <w:r>
        <w:rPr>
          <w:rFonts w:ascii="Calibri" w:hAnsi="Calibri" w:cs="Calibri" w:eastAsia="Calibri"/>
          <w:color w:val="1F2933"/>
          <w:sz w:val="21"/>
        </w:rPr>
        <w:t>La fourchette budgétaire, hors taxes, et ce qu’elle couvre.</w:t>
      </w:r>
    </w:p>
    <w:p>
      <w:pPr>
        <w:pStyle w:val="ListBullet"/>
      </w:pPr>
      <w:r>
        <w:rPr>
          <w:rFonts w:ascii="Calibri" w:hAnsi="Calibri" w:cs="Calibri" w:eastAsia="Calibri"/>
          <w:color w:val="1F2933"/>
          <w:sz w:val="21"/>
        </w:rPr>
        <w:t>Les postes propres à la refonte, chiffrés à part.</w:t>
      </w:r>
    </w:p>
    <w:p>
      <w:pPr>
        <w:pStyle w:val="ListBullet"/>
      </w:pPr>
      <w:r>
        <w:rPr>
          <w:rFonts w:ascii="Calibri" w:hAnsi="Calibri" w:cs="Calibri" w:eastAsia="Calibri"/>
          <w:color w:val="1F2933"/>
          <w:sz w:val="21"/>
        </w:rPr>
        <w:t>La date de bascule, choisie sur un creux d’activité.</w:t>
      </w:r>
    </w:p>
    <w:p>
      <w:pPr>
        <w:pStyle w:val="ListBullet"/>
      </w:pPr>
      <w:r>
        <w:rPr>
          <w:rFonts w:ascii="Calibri" w:hAnsi="Calibri" w:cs="Calibri" w:eastAsia="Calibri"/>
          <w:color w:val="1F2933"/>
          <w:sz w:val="21"/>
        </w:rPr>
        <w:t>La fenêtre de retour arrière et sa durée.</w:t>
      </w:r>
    </w:p>
    <w:p>
      <w:pPr>
        <w:pStyle w:val="ListBullet"/>
      </w:pPr>
      <w:r>
        <w:rPr>
          <w:rFonts w:ascii="Calibri" w:hAnsi="Calibri" w:cs="Calibri" w:eastAsia="Calibri"/>
          <w:color w:val="1F2933"/>
          <w:sz w:val="21"/>
        </w:rPr>
        <w:t>Le maintien de l’ancien site en lecture, et pendant combien de temps.</w:t>
      </w:r>
    </w:p>
    <w:p>
      <w:pPr>
        <w:pStyle w:val="ListBullet"/>
      </w:pPr>
      <w:r>
        <w:rPr>
          <w:rFonts w:ascii="Calibri" w:hAnsi="Calibri" w:cs="Calibri" w:eastAsia="Calibri"/>
          <w:color w:val="1F2933"/>
          <w:sz w:val="21"/>
        </w:rPr>
        <w:t>La date du relevé de mesure après bascule, à quatre et huit semaines.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refonte fictive « Maison Verdier »</w:t>
            </w:r>
          </w:p>
          <w:p>
            <w:pPr>
              <w:spacing w:after="60" w:line="264" w:lineRule="auto"/>
            </w:pPr>
            <w:r>
              <w:rPr>
                <w:rFonts w:ascii="Calibri" w:hAnsi="Calibri" w:cs="Calibri" w:eastAsia="Calibri"/>
                <w:color w:val="1F2933"/>
                <w:sz w:val="20"/>
              </w:rPr>
              <w:t>Enveloppe : 18 000 à 26 000 € HT, reprise des contenus comprise, maintenance chiffrée séparément.</w:t>
            </w:r>
          </w:p>
          <w:p>
            <w:pPr>
              <w:spacing w:after="60" w:line="264" w:lineRule="auto"/>
            </w:pPr>
            <w:r>
              <w:rPr>
                <w:rFonts w:ascii="Calibri" w:hAnsi="Calibri" w:cs="Calibri" w:eastAsia="Calibri"/>
                <w:color w:val="1F2933"/>
                <w:sz w:val="20"/>
              </w:rPr>
              <w:t>Bascule prévue un mardi de fin janvier, creux d’activité annuel constaté sur le relevé de douze mois.</w:t>
            </w:r>
          </w:p>
          <w:p>
            <w:pPr>
              <w:spacing w:after="60" w:line="264" w:lineRule="auto"/>
            </w:pPr>
            <w:r>
              <w:rPr>
                <w:rFonts w:ascii="Calibri" w:hAnsi="Calibri" w:cs="Calibri" w:eastAsia="Calibri"/>
                <w:color w:val="1F2933"/>
                <w:sz w:val="20"/>
              </w:rPr>
              <w:t>Retour arrière possible pendant quarante-huit heures, ancien site conservé en lecture pendant un mois.</w:t>
            </w:r>
          </w:p>
          <w:p>
            <w:pPr>
              <w:spacing w:after="60" w:line="264" w:lineRule="auto"/>
            </w:pPr>
            <w:r>
              <w:rPr>
                <w:rFonts w:ascii="Calibri" w:hAnsi="Calibri" w:cs="Calibri" w:eastAsia="Calibri"/>
                <w:color w:val="1F2933"/>
                <w:sz w:val="20"/>
              </w:rPr>
              <w:t>Relevé de mesure agendé à quatre semaines puis à huit semaines, par la même personne et avec le même outil qu’avant la refonte.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Check-list propre à la refonte</w:t>
      </w:r>
    </w:p>
    <w:p>
      <w:pPr>
        <w:spacing w:after="120"/>
      </w:pPr>
      <w:r>
        <w:rPr>
          <w:rFonts w:ascii="Calibri" w:hAnsi="Calibri" w:cs="Calibri" w:eastAsia="Calibri"/>
          <w:color w:val="1F2933"/>
          <w:sz w:val="21"/>
        </w:rPr>
        <w:t>Aux vérifications d’un cahier des charges de création s’ajoutent celles-ci, qui ne concernent que les projets remplaçant un site existant.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chiffres du site actuel sont relevés sur douze mois, avant tout changement.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L’inventaire des adresses publiques est complet, y compris hors menu.</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plan de redirections est exigé comme livrable, avec sa date de vérification.</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Aucune redirection de masse vers l’accueil n’est prévue.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contenu porte une décision : repris, réécrit, fusionné, supprimé.</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personne qui réécrit est nommée, avec son délai.</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médias sans droits d’usage documentés sont identifiés.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Ce qui fonctionne aujourd’hui est écrit, et protégé.</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sort des comptes existants est tranché, mots de passe compris.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profondeur de reprise des données est décidée par le métier.</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intégrations existantes sont recensées, avec ce qu’elles deviennent.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continuité d’historique des outils de mesure est prévue.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contrôle des redirections est un critère d’acceptation écrit.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bascule est prévue sur un creux d’activité, avec retour arrière possible.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relevé de mesure après bascule est daté au calendrier.</w:t>
      </w:r>
    </w:p>
    <w:p>
      <w:pPr>
        <w:spacing w:after="120"/>
      </w:pPr>
      <w:r>
        <w:rPr>
          <w:rFonts w:ascii="Calibri" w:hAnsi="Calibri" w:cs="Calibri" w:eastAsia="Calibri"/>
          <w:color w:val="1F2933"/>
          <w:sz w:val="21"/>
        </w:rPr>
      </w:r>
    </w:p>
    <w:p>
      <w:pPr>
        <w:pBdr>
          <w:bottom w:val="single" w:sz="4" w:space="4" w:color="DDE1E6"/>
        </w:pBdr>
      </w:pPr>
    </w:p>
    <w:p>
      <w:pPr>
        <w:spacing w:before="160"/>
      </w:pPr>
      <w:r>
        <w:rPr>
          <w:rFonts w:ascii="Calibri" w:hAnsi="Calibri" w:cs="Calibri" w:eastAsia="Calibri"/>
          <w:b/>
          <w:color w:val="154CE4"/>
          <w:sz w:val="19"/>
        </w:rPr>
        <w:t>agencedeveloppementweb.net</w:t>
      </w:r>
      <w:r>
        <w:rPr>
          <w:rFonts w:ascii="Calibri" w:hAnsi="Calibri" w:cs="Calibri" w:eastAsia="Calibri"/>
          <w:color w:val="5A6472"/>
          <w:sz w:val="19"/>
        </w:rPr>
        <w:t xml:space="preserve">  ·  Modèle de cahier des charges de refonte de site web, version 1.0. À joindre à la trame de budget du même guide lors de la consultation.</w:t>
      </w:r>
    </w:p>
    <w:sectPr w:rsidR="00FC693F" w:rsidRPr="0006063C" w:rsidSect="00034616">
      <w:headerReference w:type="default" r:id="rId9"/>
      <w:footerReference w:type="default" r:id="rId10"/>
      <w:footerReference w:type="first" r:id="rId11"/>
      <w:pgSz w:w="11906" w:h="16838"/>
      <w:pgMar w:top="1247" w:right="1134" w:bottom="1134" w:left="1134"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before="80"/>
      <w:pBdr>
        <w:bottom w:val="single" w:sz="2" w:space="1" w:color="FFFFFF"/>
      </w:pBdr>
    </w:pPr>
    <w:r>
      <w:rPr>
        <w:rFonts w:ascii="Calibri" w:hAnsi="Calibri" w:cs="Calibri" w:eastAsia="Calibri"/>
        <w:color w:val="5A6472"/>
        <w:sz w:val="17"/>
      </w:rPr>
      <w:t>Modèle fourni par agencedeveloppementweb.net</w:t>
    </w:r>
    <w:r>
      <w:rPr>
        <w:rFonts w:ascii="Calibri" w:hAnsi="Calibri" w:cs="Calibri" w:eastAsia="Calibri"/>
        <w:sz w:val="17"/>
      </w:rPr>
      <w:tab/>
    </w:r>
    <w:r>
      <w:rPr>
        <w:rFonts w:ascii="Calibri" w:hAnsi="Calibri" w:cs="Calibri" w:eastAsia="Calibri"/>
        <w:color w:val="5A6472"/>
        <w:sz w:val="17"/>
      </w:rPr>
      <w:t xml:space="preserve">Page </w:t>
    </w:r>
    <w:r>
      <w:fldChar w:fldCharType="begin"/>
    </w:r>
    <w:r>
      <w:instrText xml:space="preserve"> PAGE </w:instrText>
    </w:r>
    <w:r>
      <w:fldChar w:fldCharType="separate"/>
    </w:r>
    <w:r>
      <w:rPr>
        <w:rFonts w:ascii="Calibri" w:hAnsi="Calibri" w:cs="Calibri" w:eastAsia="Calibri"/>
        <w:b/>
        <w:color w:val="1F2933"/>
        <w:sz w:val="17"/>
      </w:rPr>
      <w:t>1</w:t>
    </w:r>
    <w:r>
      <w:fldChar w:fldCharType="end"/>
    </w:r>
    <w:r>
      <w:rPr>
        <w:rFonts w:ascii="Calibri" w:hAnsi="Calibri" w:cs="Calibri" w:eastAsia="Calibri"/>
        <w:color w:val="5A6472"/>
        <w:sz w:val="17"/>
      </w:rPr>
      <w:t xml:space="preserve"> sur </w:t>
    </w:r>
    <w:r>
      <w:fldChar w:fldCharType="begin"/>
    </w:r>
    <w:r>
      <w:instrText xml:space="preserve"> NUMPAGES </w:instrText>
    </w:r>
    <w:r>
      <w:fldChar w:fldCharType="separate"/>
    </w:r>
    <w:r>
      <w:rPr>
        <w:rFonts w:ascii="Calibri" w:hAnsi="Calibri" w:cs="Calibri" w:eastAsia="Calibri"/>
        <w:color w:val="5A6472"/>
        <w:sz w:val="17"/>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Calibri" w:hAnsi="Calibri" w:cs="Calibri" w:eastAsia="Calibri"/>
        <w:color w:val="7A828E"/>
        <w:sz w:val="17"/>
      </w:rPr>
      <w:t>agencedeveloppementweb.net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80"/>
      <w:pBdr>
        <w:bottom w:val="single" w:sz="4" w:space="4" w:color="DDE1E6"/>
      </w:pBdr>
    </w:pPr>
    <w:r>
      <w:rPr>
        <w:rFonts w:ascii="Calibri" w:hAnsi="Calibri" w:cs="Calibri" w:eastAsia="Calibri"/>
        <w:caps/>
        <w:color w:val="5A6472"/>
        <w:sz w:val="17"/>
        <w:spacing w:val="20"/>
      </w:rPr>
      <w:t>Cahier des charges  ·  Refonte de site web</w:t>
    </w:r>
    <w:r>
      <w:rPr>
        <w:rFonts w:ascii="Calibri" w:hAnsi="Calibri" w:cs="Calibri" w:eastAsia="Calibri"/>
        <w:sz w:val="17"/>
      </w:rPr>
      <w:tab/>
    </w:r>
    <w:r>
      <w:rPr>
        <w:rFonts w:ascii="Calibri" w:hAnsi="Calibri" w:cs="Calibri" w:eastAsia="Calibri"/>
        <w:i/>
        <w:color w:val="7A828E"/>
        <w:sz w:val="17"/>
      </w:rPr>
      <w:t>[Nom du projet]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cs="Calibri" w:eastAsia="Calibri"/>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54CE4"/>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1F29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rPr>
      <w:rFonts w:ascii="Calibri" w:hAnsi="Calibri"/>
      <w:color w:val="1F29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iquetteADW">
    <w:name w:val="Etiquette ADW"/>
    <w:basedOn w:val="Normal"/>
    <w:pPr>
      <w:keepNext/>
      <w:spacing w:before="240" w:after="60"/>
    </w:pPr>
    <w:rPr>
      <w:rFonts w:ascii="Calibri" w:hAnsi="Calibri"/>
      <w:b/>
      <w:caps/>
      <w:color w:val="5A6472"/>
      <w:sz w:val="16"/>
      <w:spacing w:val="30"/>
    </w:rPr>
  </w:style>
  <w:style w:type="paragraph" w:customStyle="1" w:styleId="NoteADW">
    <w:name w:val="Note ADW"/>
    <w:basedOn w:val="Normal"/>
    <w:pPr>
      <w:spacing w:before="80"/>
    </w:pPr>
    <w:rPr>
      <w:color w:val="5A64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cahier des charges de refonte de site web</dc:title>
  <dc:subject>Modèle à compléter pour faire chiffrer la refonte d’un site existant</dc:subject>
  <dc:creator>agencedeveloppementweb.net</dc:creator>
  <cp:keywords/>
  <dc:description>Modèle libre d’usage fourni par agencedeveloppementweb.net.</dc:description>
  <cp:lastModifiedBy/>
  <cp:revision>1</cp:revision>
  <dcterms:created xsi:type="dcterms:W3CDTF">2013-12-23T23:15:00Z</dcterms:created>
  <dcterms:modified xsi:type="dcterms:W3CDTF">2013-12-23T23:15:00Z</dcterms:modified>
  <cp:category>Modèle</cp:category>
</cp:coreProperties>
</file>