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r>
        <w:rPr>
          <w:rFonts w:ascii="Calibri" w:hAnsi="Calibri" w:cs="Calibri" w:eastAsia="Calibri"/>
          <w:b/>
          <w:color w:val="1F2933"/>
          <w:sz w:val="60"/>
        </w:rPr>
        <w:t>Cahier des charges</w:t>
      </w:r>
    </w:p>
    <w:p>
      <w:pPr>
        <w:spacing w:after="280"/>
      </w:pPr>
      <w:r>
        <w:rPr>
          <w:rFonts w:ascii="Calibri" w:hAnsi="Calibri" w:cs="Calibri" w:eastAsia="Calibri"/>
          <w:b/>
          <w:color w:val="154CE4"/>
          <w:sz w:val="60"/>
        </w:rPr>
        <w:t>GED</w:t>
      </w:r>
    </w:p>
    <w:p>
      <w:pPr>
        <w:spacing w:after="320"/>
        <w:pBdr>
          <w:bottom w:val="single" w:sz="12" w:space="2" w:color="154CE4"/>
        </w:pBdr>
      </w:pPr>
    </w:p>
    <w:p>
      <w:pPr>
        <w:spacing w:after="80"/>
      </w:pPr>
      <w:r>
        <w:rPr>
          <w:rFonts w:ascii="Calibri" w:hAnsi="Calibri" w:cs="Calibri" w:eastAsia="Calibri"/>
          <w:b/>
          <w:caps/>
          <w:color w:val="5A6472"/>
          <w:sz w:val="26"/>
          <w:spacing w:val="60"/>
        </w:rPr>
        <w:t>Modèle à compléter</w:t>
      </w:r>
    </w:p>
    <w:p>
      <w:pPr>
        <w:spacing w:after="720"/>
      </w:pPr>
      <w:r>
        <w:rPr>
          <w:rFonts w:ascii="Calibri" w:hAnsi="Calibri" w:cs="Calibri" w:eastAsia="Calibri"/>
          <w:color w:val="5A6472"/>
          <w:sz w:val="22"/>
        </w:rPr>
        <w:t>Douze sections à remplir pour consulter des éditeurs et des intégrateurs de gestion électronique de documents, et obtenir des devis comparables.</w:t>
      </w:r>
    </w:p>
    <w:tbl>
      <w:tblPr>
        <w:jc w:val="left"/>
        <w:tblLayout w:type="fixed"/>
        <w:tblLook w:firstColumn="1" w:firstRow="1" w:lastColumn="0" w:lastRow="0" w:noHBand="0" w:noVBand="1" w:val="04A0"/>
        <w:tblLayout w:type="fixed"/>
        <w:tblW w:type="dxa" w:w="9639"/>
      </w:tblPr>
      <w:tblGrid>
        <w:gridCol w:w="3969"/>
        <w:gridCol w:w="5670"/>
      </w:tblGrid>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Nom du projet</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Organisation</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Rédigé par</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[nom, e-mail, téléphone]</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Date</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Version du document</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bl>
    <w:p>
      <w:pPr>
        <w:spacing w:after="0"/>
      </w:pPr>
    </w:p>
    <w:p>
      <w:pPr>
        <w:spacing w:after="0"/>
      </w:pPr>
    </w:p>
    <w:p>
      <w:pPr>
        <w:spacing w:after="0"/>
      </w:pPr>
    </w:p>
    <w:p>
      <w:pPr>
        <w:spacing w:after="0"/>
      </w:pPr>
    </w:p>
    <w:p>
      <w:pPr>
        <w:spacing w:after="0"/>
      </w:pPr>
    </w:p>
    <w:p>
      <w:pPr>
        <w:spacing w:after="0"/>
        <w:pBdr>
          <w:bottom w:val="single" w:sz="4" w:space="4" w:color="DDE1E6"/>
        </w:pBdr>
      </w:pPr>
    </w:p>
    <w:p>
      <w:pPr>
        <w:spacing w:before="120"/>
      </w:pPr>
      <w:r>
        <w:rPr>
          <w:rFonts w:ascii="Calibri" w:hAnsi="Calibri" w:cs="Calibri" w:eastAsia="Calibri"/>
          <w:b/>
          <w:color w:val="5A6472"/>
          <w:sz w:val="19"/>
        </w:rPr>
        <w:t>Document fourni par agencedeveloppementweb.net</w:t>
      </w:r>
    </w:p>
    <w:p>
      <w:r>
        <w:rPr>
          <w:rFonts w:ascii="Calibri" w:hAnsi="Calibri" w:cs="Calibri" w:eastAsia="Calibri"/>
          <w:color w:val="7A828E"/>
          <w:sz w:val="18"/>
        </w:rPr>
        <w:t>Modèle libre d’usage pour préparer votre projet et consulter des prestataires. Aucune donnée n’est transmise à un tiers.</w:t>
      </w:r>
    </w:p>
    <w:p>
      <w:r>
        <w:br w:type="page"/>
      </w:r>
    </w:p>
    <w:p>
      <w:pPr>
        <w:spacing w:after="80"/>
        <w:pBdr>
          <w:bottom w:val="single" w:sz="6" w:space="4" w:color="DCE4F9"/>
        </w:pBdr>
      </w:pPr>
      <w:r>
        <w:rPr>
          <w:rFonts w:ascii="Calibri" w:hAnsi="Calibri" w:cs="Calibri" w:eastAsia="Calibri"/>
          <w:b/>
          <w:color w:val="154CE4"/>
          <w:sz w:val="30"/>
        </w:rPr>
        <w:t>Sommaire</w:t>
      </w:r>
    </w:p>
    <w:p>
      <w:pPr>
        <w:pStyle w:val="NoteADW"/>
      </w:pPr>
      <w:r>
        <w:rPr>
          <w:rFonts w:ascii="Calibri" w:hAnsi="Calibri" w:cs="Calibri" w:eastAsia="Calibri"/>
          <w:i/>
          <w:color w:val="7A828E"/>
          <w:sz w:val="18"/>
        </w:rPr>
        <w:t>Le sommaire se met à jour tout seul. Si les titres n’apparaissent pas, cliquez dedans avec le bouton droit puis choisissez « Mettre à jour les champs ».</w:t>
      </w:r>
    </w:p>
    <w:p>
      <w:r>
        <w:fldChar w:fldCharType="begin"/>
      </w:r>
      <w:r>
        <w:instrText xml:space="preserve"> TOC \o "1-2" \h \z \u </w:instrText>
      </w:r>
      <w:r>
        <w:fldChar w:fldCharType="separate"/>
      </w:r>
      <w:r>
        <w:t>Sommaire à mettre à jour : clic droit sur cette ligne, puis « Mettre à jour les champs ».</w:t>
      </w:r>
      <w:r>
        <w:fldChar w:fldCharType="end"/>
      </w:r>
    </w:p>
    <w:p>
      <w:r>
        <w:br w:type="page"/>
      </w:r>
    </w:p>
    <w:p>
      <w:pPr>
        <w:pStyle w:val="Heading1"/>
      </w:pPr>
      <w:r>
        <w:t>Comment utiliser ce modèle</w:t>
      </w:r>
    </w:p>
    <w:p>
      <w:pPr>
        <w:spacing w:after="120"/>
      </w:pPr>
      <w:r>
        <w:rPr>
          <w:rFonts w:ascii="Calibri" w:hAnsi="Calibri" w:cs="Calibri" w:eastAsia="Calibri"/>
          <w:color w:val="1F2933"/>
          <w:sz w:val="21"/>
        </w:rPr>
        <w:t>Un projet de gestion électronique de documents échoue rarement sur la technique. Il échoue sur trois points que ce document force à trancher avant la consultation : la volumétrie réelle, le plan de classement, et ce qu’on fait de l’existant. Une GED qu’on installe sans avoir répondu à ces trois questions devient un second dossier partagé, en plus cher.</w:t>
      </w:r>
    </w:p>
    <w:p>
      <w:pPr>
        <w:spacing w:after="100"/>
        <w:ind w:left="397" w:hanging="397"/>
      </w:pPr>
      <w:r>
        <w:rPr>
          <w:rFonts w:ascii="Calibri" w:hAnsi="Calibri" w:cs="Calibri" w:eastAsia="Calibri"/>
          <w:b/>
          <w:color w:val="154CE4"/>
          <w:sz w:val="21"/>
        </w:rPr>
        <w:t xml:space="preserve">1.  </w:t>
      </w:r>
      <w:r>
        <w:rPr>
          <w:rFonts w:ascii="Calibri" w:hAnsi="Calibri" w:cs="Calibri" w:eastAsia="Calibri"/>
          <w:b/>
          <w:color w:val="1F2933"/>
          <w:sz w:val="21"/>
        </w:rPr>
        <w:t xml:space="preserve">Comptez avant d’écrire. </w:t>
      </w:r>
      <w:r>
        <w:rPr>
          <w:rFonts w:ascii="Calibri" w:hAnsi="Calibri" w:cs="Calibri" w:eastAsia="Calibri"/>
          <w:color w:val="1F2933"/>
          <w:sz w:val="21"/>
        </w:rPr>
        <w:t>Section 3. Le nombre de documents, leur poids moyen et leur rythme de création décident de l’architecture et du prix. Une estimation à la louche fausse tout le reste du dossier.</w:t>
      </w:r>
    </w:p>
    <w:p>
      <w:pPr>
        <w:spacing w:after="100"/>
        <w:ind w:left="397" w:hanging="397"/>
      </w:pPr>
      <w:r>
        <w:rPr>
          <w:rFonts w:ascii="Calibri" w:hAnsi="Calibri" w:cs="Calibri" w:eastAsia="Calibri"/>
          <w:b/>
          <w:color w:val="154CE4"/>
          <w:sz w:val="21"/>
        </w:rPr>
        <w:t xml:space="preserve">2.  </w:t>
      </w:r>
      <w:r>
        <w:rPr>
          <w:rFonts w:ascii="Calibri" w:hAnsi="Calibri" w:cs="Calibri" w:eastAsia="Calibri"/>
          <w:b/>
          <w:color w:val="1F2933"/>
          <w:sz w:val="21"/>
        </w:rPr>
        <w:t xml:space="preserve">Tranchez le plan de classement en interne. </w:t>
      </w:r>
      <w:r>
        <w:rPr>
          <w:rFonts w:ascii="Calibri" w:hAnsi="Calibri" w:cs="Calibri" w:eastAsia="Calibri"/>
          <w:color w:val="1F2933"/>
          <w:sz w:val="21"/>
        </w:rPr>
        <w:t>Section 4. Aucun éditeur ne peut le faire à votre place : il décrit votre métier. C’est le travail le plus long du projet et le seul qui ne se sous-traite pas.</w:t>
      </w:r>
    </w:p>
    <w:p>
      <w:pPr>
        <w:spacing w:after="100"/>
        <w:ind w:left="397" w:hanging="397"/>
      </w:pPr>
      <w:r>
        <w:rPr>
          <w:rFonts w:ascii="Calibri" w:hAnsi="Calibri" w:cs="Calibri" w:eastAsia="Calibri"/>
          <w:b/>
          <w:color w:val="154CE4"/>
          <w:sz w:val="21"/>
        </w:rPr>
        <w:t xml:space="preserve">3.  </w:t>
      </w:r>
      <w:r>
        <w:rPr>
          <w:rFonts w:ascii="Calibri" w:hAnsi="Calibri" w:cs="Calibri" w:eastAsia="Calibri"/>
          <w:b/>
          <w:color w:val="1F2933"/>
          <w:sz w:val="21"/>
        </w:rPr>
        <w:t xml:space="preserve">Décidez du sort de l’existant tout de suite. </w:t>
      </w:r>
      <w:r>
        <w:rPr>
          <w:rFonts w:ascii="Calibri" w:hAnsi="Calibri" w:cs="Calibri" w:eastAsia="Calibri"/>
          <w:color w:val="1F2933"/>
          <w:sz w:val="21"/>
        </w:rPr>
        <w:t>Section 11. Reprendre trente ans d’archives ou repartir de zéro n’est pas le même projet, ni le même budget, et cette décision remonte à la direction.</w:t>
      </w:r>
    </w:p>
    <w:p>
      <w:pPr>
        <w:spacing w:after="100"/>
        <w:ind w:left="397" w:hanging="397"/>
      </w:pPr>
      <w:r>
        <w:rPr>
          <w:rFonts w:ascii="Calibri" w:hAnsi="Calibri" w:cs="Calibri" w:eastAsia="Calibri"/>
          <w:b/>
          <w:color w:val="154CE4"/>
          <w:sz w:val="21"/>
        </w:rPr>
        <w:t xml:space="preserve">4.  </w:t>
      </w:r>
      <w:r>
        <w:rPr>
          <w:rFonts w:ascii="Calibri" w:hAnsi="Calibri" w:cs="Calibri" w:eastAsia="Calibri"/>
          <w:b/>
          <w:color w:val="1F2933"/>
          <w:sz w:val="21"/>
        </w:rPr>
        <w:t xml:space="preserve">Écrivez les workflows avec ceux qui les vivent. </w:t>
      </w:r>
      <w:r>
        <w:rPr>
          <w:rFonts w:ascii="Calibri" w:hAnsi="Calibri" w:cs="Calibri" w:eastAsia="Calibri"/>
          <w:color w:val="1F2933"/>
          <w:sz w:val="21"/>
        </w:rPr>
        <w:t>Section 7. Un circuit de validation écrit par la direction et non par les valideurs est contourné dans les six mois.</w:t>
      </w:r>
    </w:p>
    <w:p>
      <w:pPr>
        <w:spacing w:after="100"/>
        <w:ind w:left="397" w:hanging="397"/>
      </w:pPr>
      <w:r>
        <w:rPr>
          <w:rFonts w:ascii="Calibri" w:hAnsi="Calibri" w:cs="Calibri" w:eastAsia="Calibri"/>
          <w:b/>
          <w:color w:val="154CE4"/>
          <w:sz w:val="21"/>
        </w:rPr>
        <w:t xml:space="preserve">5.  </w:t>
      </w:r>
      <w:r>
        <w:rPr>
          <w:rFonts w:ascii="Calibri" w:hAnsi="Calibri" w:cs="Calibri" w:eastAsia="Calibri"/>
          <w:b/>
          <w:color w:val="1F2933"/>
          <w:sz w:val="21"/>
        </w:rPr>
        <w:t xml:space="preserve">Distinguez conservation et archivage à valeur probante. </w:t>
      </w:r>
      <w:r>
        <w:rPr>
          <w:rFonts w:ascii="Calibri" w:hAnsi="Calibri" w:cs="Calibri" w:eastAsia="Calibri"/>
          <w:color w:val="1F2933"/>
          <w:sz w:val="21"/>
        </w:rPr>
        <w:t>Section 8. Les deux ne se chiffrent pas pareil, et confondre les deux est l’erreur la plus coûteuse de ce type de projet.</w:t>
      </w:r>
    </w:p>
    <w:p>
      <w:pPr>
        <w:spacing w:after="100"/>
        <w:ind w:left="397" w:hanging="397"/>
      </w:pPr>
      <w:r>
        <w:rPr>
          <w:rFonts w:ascii="Calibri" w:hAnsi="Calibri" w:cs="Calibri" w:eastAsia="Calibri"/>
          <w:b/>
          <w:color w:val="154CE4"/>
          <w:sz w:val="21"/>
        </w:rPr>
        <w:t xml:space="preserve">6.  </w:t>
      </w:r>
      <w:r>
        <w:rPr>
          <w:rFonts w:ascii="Calibri" w:hAnsi="Calibri" w:cs="Calibri" w:eastAsia="Calibri"/>
          <w:b/>
          <w:color w:val="1F2933"/>
          <w:sz w:val="21"/>
        </w:rPr>
        <w:t xml:space="preserve">Joignez la trame de budget. </w:t>
      </w:r>
      <w:r>
        <w:rPr>
          <w:rFonts w:ascii="Calibri" w:hAnsi="Calibri" w:cs="Calibri" w:eastAsia="Calibri"/>
          <w:color w:val="1F2933"/>
          <w:sz w:val="21"/>
        </w:rPr>
        <w:t>Envoyez-la vide aux candidats, avec ce document, pour comparer poste par poste.</w:t>
      </w:r>
    </w:p>
    <w:p>
      <w:pPr>
        <w:spacing w:after="120"/>
      </w:pPr>
      <w:r>
        <w:rPr>
          <w:rFonts w:ascii="Calibri" w:hAnsi="Calibri" w:cs="Calibri" w:eastAsia="Calibri"/>
          <w:color w:val="1F2933"/>
          <w:sz w:val="21"/>
        </w:rPr>
      </w:r>
    </w:p>
    <w:p>
      <w:pPr>
        <w:pStyle w:val="NoteADW"/>
      </w:pPr>
      <w:r>
        <w:rPr>
          <w:rFonts w:ascii="Calibri" w:hAnsi="Calibri" w:cs="Calibri" w:eastAsia="Calibri"/>
          <w:i/>
          <w:color w:val="7A828E"/>
          <w:sz w:val="18"/>
        </w:rPr>
        <w:t>Le « Cabinet Aubrac &amp; Associés » utilisé dans les exemples est un cabinet entièrement fictif. Il sert uniquement à montrer le niveau de détail attendu : ne reprenez ni ses chiffres, ni son plan de classement.</w:t>
      </w:r>
    </w:p>
    <w:p>
      <w:r>
        <w:br w:type="page"/>
      </w:r>
    </w:p>
    <w:p>
      <w:pPr>
        <w:pStyle w:val="Heading1"/>
      </w:pPr>
      <w:r>
        <w:t>1. Contexte et déclencheur</w:t>
      </w:r>
    </w:p>
    <w:p>
      <w:pPr>
        <w:pStyle w:val="EtiquetteADW"/>
      </w:pPr>
      <w:r>
        <w:t>Ce qu’on attend ici</w:t>
      </w:r>
    </w:p>
    <w:p>
      <w:pPr>
        <w:spacing w:after="120"/>
      </w:pPr>
      <w:r>
        <w:rPr>
          <w:rFonts w:ascii="Calibri" w:hAnsi="Calibri" w:cs="Calibri" w:eastAsia="Calibri"/>
          <w:color w:val="1F2933"/>
          <w:sz w:val="21"/>
        </w:rPr>
        <w:t>Décrivez votre activité, votre taille, et surtout ce qui déclenche le projet maintenant. Une GED se décide presque toujours sur un événement précis : un contrôle qui s’est mal passé, un déménagement qui rend le stockage papier impossible, un départ qui emporte la mémoire d’un classement, une obligation nouvelle. Nommez cet événement.</w:t>
      </w:r>
    </w:p>
    <w:p>
      <w:pPr>
        <w:spacing w:after="120"/>
      </w:pPr>
      <w:r>
        <w:rPr>
          <w:rFonts w:ascii="Calibri" w:hAnsi="Calibri" w:cs="Calibri" w:eastAsia="Calibri"/>
          <w:color w:val="1F2933"/>
          <w:sz w:val="21"/>
        </w:rPr>
        <w:t>Décrivez ensuite comment les documents circulent aujourd’hui, sans jugement. Où sont-ils, qui les nomme, qui les retrouve, combien de temps cela prend. Les meilleurs cahiers des charges de GED racontent une recherche de document réelle, du début à la fin, avec le temps passé.</w:t>
      </w:r>
    </w:p>
    <w:p>
      <w:pPr>
        <w:pStyle w:val="EtiquetteADW"/>
      </w:pPr>
      <w:r>
        <w:t>Les points à couvrir</w:t>
      </w:r>
    </w:p>
    <w:p>
      <w:pPr>
        <w:pStyle w:val="ListBullet"/>
      </w:pPr>
      <w:r>
        <w:rPr>
          <w:rFonts w:ascii="Calibri" w:hAnsi="Calibri" w:cs="Calibri" w:eastAsia="Calibri"/>
          <w:color w:val="1F2933"/>
          <w:sz w:val="21"/>
        </w:rPr>
        <w:t>Activité, taille, nombre de sites, nombre d’utilisateurs concernés.</w:t>
      </w:r>
    </w:p>
    <w:p>
      <w:pPr>
        <w:pStyle w:val="ListBullet"/>
      </w:pPr>
      <w:r>
        <w:rPr>
          <w:rFonts w:ascii="Calibri" w:hAnsi="Calibri" w:cs="Calibri" w:eastAsia="Calibri"/>
          <w:color w:val="1F2933"/>
          <w:sz w:val="21"/>
        </w:rPr>
        <w:t>Le déclencheur précis du projet, daté.</w:t>
      </w:r>
    </w:p>
    <w:p>
      <w:pPr>
        <w:pStyle w:val="ListBullet"/>
      </w:pPr>
      <w:r>
        <w:rPr>
          <w:rFonts w:ascii="Calibri" w:hAnsi="Calibri" w:cs="Calibri" w:eastAsia="Calibri"/>
          <w:color w:val="1F2933"/>
          <w:sz w:val="21"/>
        </w:rPr>
        <w:t>Où vivent les documents aujourd’hui : serveur de fichiers, messagerie, papier, outils métier.</w:t>
      </w:r>
    </w:p>
    <w:p>
      <w:pPr>
        <w:pStyle w:val="ListBullet"/>
      </w:pPr>
      <w:r>
        <w:rPr>
          <w:rFonts w:ascii="Calibri" w:hAnsi="Calibri" w:cs="Calibri" w:eastAsia="Calibri"/>
          <w:color w:val="1F2933"/>
          <w:sz w:val="21"/>
        </w:rPr>
        <w:t>Le temps passé à chercher, estimé ou relevé.</w:t>
      </w:r>
    </w:p>
    <w:p>
      <w:pPr>
        <w:pStyle w:val="ListBullet"/>
      </w:pPr>
      <w:r>
        <w:rPr>
          <w:rFonts w:ascii="Calibri" w:hAnsi="Calibri" w:cs="Calibri" w:eastAsia="Calibri"/>
          <w:color w:val="1F2933"/>
          <w:sz w:val="21"/>
        </w:rPr>
        <w:t>Ce qui fonctionne aujourd’hui et doit être préservé.</w:t>
      </w:r>
    </w:p>
    <w:p>
      <w:pPr>
        <w:pStyle w:val="ListBullet"/>
      </w:pPr>
      <w:r>
        <w:rPr>
          <w:rFonts w:ascii="Calibri" w:hAnsi="Calibri" w:cs="Calibri" w:eastAsia="Calibri"/>
          <w:color w:val="1F2933"/>
          <w:sz w:val="21"/>
        </w:rPr>
        <w:t>Les tentatives précédentes et leur issue.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Cabinet d’expertise comptable fictif, 40 collaborateurs, deux bureaux, 1 200 dossiers clients actifs.</w:t>
            </w:r>
          </w:p>
          <w:p>
            <w:pPr>
              <w:spacing w:after="60" w:line="264" w:lineRule="auto"/>
            </w:pPr>
            <w:r>
              <w:rPr>
                <w:rFonts w:ascii="Calibri" w:hAnsi="Calibri" w:cs="Calibri" w:eastAsia="Calibri"/>
                <w:color w:val="1F2933"/>
                <w:sz w:val="20"/>
              </w:rPr>
              <w:t>Déclencheur : le départ de la responsable administrative en juin, seule à connaître l’organisation du serveur de fichiers.</w:t>
            </w:r>
          </w:p>
          <w:p>
            <w:pPr>
              <w:spacing w:after="60" w:line="264" w:lineRule="auto"/>
            </w:pPr>
            <w:r>
              <w:rPr>
                <w:rFonts w:ascii="Calibri" w:hAnsi="Calibri" w:cs="Calibri" w:eastAsia="Calibri"/>
                <w:color w:val="1F2933"/>
                <w:sz w:val="20"/>
              </w:rPr>
              <w:t>Aujourd’hui : les pièces clients vivent sur un serveur de fichiers avec un classement par collaborateur, doublé de pièces jointes restées en messagerie.</w:t>
            </w:r>
          </w:p>
          <w:p>
            <w:pPr>
              <w:spacing w:after="60" w:line="264" w:lineRule="auto"/>
            </w:pPr>
            <w:r>
              <w:rPr>
                <w:rFonts w:ascii="Calibri" w:hAnsi="Calibri" w:cs="Calibri" w:eastAsia="Calibri"/>
                <w:color w:val="1F2933"/>
                <w:sz w:val="20"/>
              </w:rPr>
              <w:t>Relevé sur deux semaines : 11 minutes en moyenne pour retrouver une liasse fiscale de l’exercice précédent, 9 recherches restées sans réponse.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2. Objectifs mesurables</w:t>
      </w:r>
    </w:p>
    <w:p>
      <w:pPr>
        <w:pStyle w:val="EtiquetteADW"/>
      </w:pPr>
      <w:r>
        <w:t>Ce qu’on attend ici</w:t>
      </w:r>
    </w:p>
    <w:p>
      <w:pPr>
        <w:spacing w:after="120"/>
      </w:pPr>
      <w:r>
        <w:rPr>
          <w:rFonts w:ascii="Calibri" w:hAnsi="Calibri" w:cs="Calibri" w:eastAsia="Calibri"/>
          <w:color w:val="1F2933"/>
          <w:sz w:val="21"/>
        </w:rPr>
        <w:t>Trois à cinq objectifs, chacun avec un chiffre, une échéance et un moyen de mesure. Sur une GED, les objectifs utiles tournent autour de quatre familles : le temps de recherche, le taux de documents correctement classés, le respect des durées de conservation, et la réduction du papier ou du stockage désordonné.</w:t>
      </w:r>
    </w:p>
    <w:p>
      <w:pPr>
        <w:spacing w:after="120"/>
      </w:pPr>
      <w:r>
        <w:rPr>
          <w:rFonts w:ascii="Calibri" w:hAnsi="Calibri" w:cs="Calibri" w:eastAsia="Calibri"/>
          <w:color w:val="1F2933"/>
          <w:sz w:val="21"/>
        </w:rPr>
        <w:t>Évitez l’objectif « dématérialiser », qui ne se mesure pas et qui décrit un moyen. Écrivez plutôt ce que la dématérialisation doit produire : un temps de recherche divisé par trois, zéro document conservé au-delà de sa durée légale, un dossier client reconstituable en cas de contrôle sans solliciter personne.</w:t>
      </w:r>
    </w:p>
    <w:p>
      <w:pPr>
        <w:pStyle w:val="EtiquetteADW"/>
      </w:pPr>
      <w:r>
        <w:t>Les points à couvrir</w:t>
      </w:r>
    </w:p>
    <w:p>
      <w:pPr>
        <w:pStyle w:val="ListBullet"/>
      </w:pPr>
      <w:r>
        <w:rPr>
          <w:rFonts w:ascii="Calibri" w:hAnsi="Calibri" w:cs="Calibri" w:eastAsia="Calibri"/>
          <w:color w:val="1F2933"/>
          <w:sz w:val="21"/>
        </w:rPr>
        <w:t>Trois à cinq objectifs chiffrés, datés, avec leur mesure.</w:t>
      </w:r>
    </w:p>
    <w:p>
      <w:pPr>
        <w:pStyle w:val="ListBullet"/>
      </w:pPr>
      <w:r>
        <w:rPr>
          <w:rFonts w:ascii="Calibri" w:hAnsi="Calibri" w:cs="Calibri" w:eastAsia="Calibri"/>
          <w:color w:val="1F2933"/>
          <w:sz w:val="21"/>
        </w:rPr>
        <w:t>La valeur de départ, ou la mention « à établir avant le démarrage ».</w:t>
      </w:r>
    </w:p>
    <w:p>
      <w:pPr>
        <w:pStyle w:val="ListBullet"/>
      </w:pPr>
      <w:r>
        <w:rPr>
          <w:rFonts w:ascii="Calibri" w:hAnsi="Calibri" w:cs="Calibri" w:eastAsia="Calibri"/>
          <w:color w:val="1F2933"/>
          <w:sz w:val="21"/>
        </w:rPr>
        <w:t>La personne qui relèvera chaque indicateur après la mise en service.</w:t>
      </w:r>
    </w:p>
    <w:p>
      <w:pPr>
        <w:pStyle w:val="ListBullet"/>
      </w:pPr>
      <w:r>
        <w:rPr>
          <w:rFonts w:ascii="Calibri" w:hAnsi="Calibri" w:cs="Calibri" w:eastAsia="Calibri"/>
          <w:color w:val="1F2933"/>
          <w:sz w:val="21"/>
        </w:rPr>
        <w:t>Ce qui constituerait un échec, écrit aussi clairement que le succès.</w:t>
      </w:r>
    </w:p>
    <w:p>
      <w:pPr>
        <w:pStyle w:val="ListBullet"/>
      </w:pPr>
      <w:r>
        <w:rPr>
          <w:rFonts w:ascii="Calibri" w:hAnsi="Calibri" w:cs="Calibri" w:eastAsia="Calibri"/>
          <w:color w:val="1F2933"/>
          <w:sz w:val="21"/>
        </w:rPr>
        <w:t>L’ordre de priorité si les objectifs ne sont pas tous atteignables.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Objectif 1 : ramener le temps moyen de recherche d’une pièce à moins de deux minutes, contre onze aujourd’hui, six mois après la mise en service. Mesure : relevé sur deux semaines, même protocole qu’avant.</w:t>
            </w:r>
          </w:p>
          <w:p>
            <w:pPr>
              <w:spacing w:after="60" w:line="264" w:lineRule="auto"/>
            </w:pPr>
            <w:r>
              <w:rPr>
                <w:rFonts w:ascii="Calibri" w:hAnsi="Calibri" w:cs="Calibri" w:eastAsia="Calibri"/>
                <w:color w:val="1F2933"/>
                <w:sz w:val="20"/>
              </w:rPr>
              <w:t>Objectif 2 : 100 % des pièces de l’exercice en cours classées avec leurs métadonnées obligatoires à la clôture. Mesure : rapport de la GED.</w:t>
            </w:r>
          </w:p>
          <w:p>
            <w:pPr>
              <w:spacing w:after="60" w:line="264" w:lineRule="auto"/>
            </w:pPr>
            <w:r>
              <w:rPr>
                <w:rFonts w:ascii="Calibri" w:hAnsi="Calibri" w:cs="Calibri" w:eastAsia="Calibri"/>
                <w:color w:val="1F2933"/>
                <w:sz w:val="20"/>
              </w:rPr>
              <w:t>Objectif 3 : aucune pièce conservée au-delà de sa durée légale à douze mois. Mesure : rapport de purge.</w:t>
            </w:r>
          </w:p>
          <w:p>
            <w:pPr>
              <w:spacing w:after="60" w:line="264" w:lineRule="auto"/>
            </w:pPr>
            <w:r>
              <w:rPr>
                <w:rFonts w:ascii="Calibri" w:hAnsi="Calibri" w:cs="Calibri" w:eastAsia="Calibri"/>
                <w:color w:val="1F2933"/>
                <w:sz w:val="20"/>
              </w:rPr>
              <w:t>Échec : une GED en service et un serveur de fichiers toujours utilisé en parallèle au bout de six mois.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3. Volumétrie et typologie documentaire</w:t>
      </w:r>
    </w:p>
    <w:p>
      <w:pPr>
        <w:pStyle w:val="EtiquetteADW"/>
      </w:pPr>
      <w:r>
        <w:t>Ce qu’on attend ici</w:t>
      </w:r>
    </w:p>
    <w:p>
      <w:pPr>
        <w:spacing w:after="120"/>
      </w:pPr>
      <w:r>
        <w:rPr>
          <w:rFonts w:ascii="Calibri" w:hAnsi="Calibri" w:cs="Calibri" w:eastAsia="Calibri"/>
          <w:color w:val="1F2933"/>
          <w:sz w:val="21"/>
        </w:rPr>
        <w:t>C’est la section qui décide de l’architecture et du prix, et c’est celle qu’on remplit le plus souvent au jugé. Prenez le temps de compter réellement : le nombre de fichiers sur votre serveur, leur poids total, le rythme de création mensuel. Ces trois chiffres s’obtiennent en une demi-journée et ils changent tout, du dimensionnement du stockage au mode de licence.</w:t>
      </w:r>
    </w:p>
    <w:p>
      <w:pPr>
        <w:spacing w:after="120"/>
      </w:pPr>
      <w:r>
        <w:rPr>
          <w:rFonts w:ascii="Calibri" w:hAnsi="Calibri" w:cs="Calibri" w:eastAsia="Calibri"/>
          <w:color w:val="1F2933"/>
          <w:sz w:val="21"/>
        </w:rPr>
        <w:t>Listez ensuite vos types de documents. Un type de document, c’est un ensemble qui partage les mêmes métadonnées, le même circuit et la même durée de conservation. La plupart des organisations en ont entre huit et vingt, rarement plus. Les décrire un par un est l’exercice qui prépare la section suivante.</w:t>
      </w:r>
    </w:p>
    <w:p>
      <w:pPr>
        <w:pStyle w:val="EtiquetteADW"/>
      </w:pPr>
      <w:r>
        <w:t>Les points à couvrir</w:t>
      </w:r>
    </w:p>
    <w:p>
      <w:pPr>
        <w:pStyle w:val="ListBullet"/>
      </w:pPr>
      <w:r>
        <w:rPr>
          <w:rFonts w:ascii="Calibri" w:hAnsi="Calibri" w:cs="Calibri" w:eastAsia="Calibri"/>
          <w:color w:val="1F2933"/>
          <w:sz w:val="21"/>
        </w:rPr>
        <w:t>Le nombre de documents existants et leur poids total, comptés et non estimés.</w:t>
      </w:r>
    </w:p>
    <w:p>
      <w:pPr>
        <w:pStyle w:val="ListBullet"/>
      </w:pPr>
      <w:r>
        <w:rPr>
          <w:rFonts w:ascii="Calibri" w:hAnsi="Calibri" w:cs="Calibri" w:eastAsia="Calibri"/>
          <w:color w:val="1F2933"/>
          <w:sz w:val="21"/>
        </w:rPr>
        <w:t>Le rythme de création mensuel, par type.</w:t>
      </w:r>
    </w:p>
    <w:p>
      <w:pPr>
        <w:pStyle w:val="ListBullet"/>
      </w:pPr>
      <w:r>
        <w:rPr>
          <w:rFonts w:ascii="Calibri" w:hAnsi="Calibri" w:cs="Calibri" w:eastAsia="Calibri"/>
          <w:color w:val="1F2933"/>
          <w:sz w:val="21"/>
        </w:rPr>
        <w:t>La liste des types de documents, entre huit et vingt.</w:t>
      </w:r>
    </w:p>
    <w:p>
      <w:pPr>
        <w:pStyle w:val="ListBullet"/>
      </w:pPr>
      <w:r>
        <w:rPr>
          <w:rFonts w:ascii="Calibri" w:hAnsi="Calibri" w:cs="Calibri" w:eastAsia="Calibri"/>
          <w:color w:val="1F2933"/>
          <w:sz w:val="21"/>
        </w:rPr>
        <w:t>Le poids unitaire moyen et le poids maximal attendu.</w:t>
      </w:r>
    </w:p>
    <w:p>
      <w:pPr>
        <w:pStyle w:val="ListBullet"/>
      </w:pPr>
      <w:r>
        <w:rPr>
          <w:rFonts w:ascii="Calibri" w:hAnsi="Calibri" w:cs="Calibri" w:eastAsia="Calibri"/>
          <w:color w:val="1F2933"/>
          <w:sz w:val="21"/>
        </w:rPr>
        <w:t>Les formats concernés, dont les formats propriétaires et les fichiers lourds.</w:t>
      </w:r>
    </w:p>
    <w:p>
      <w:pPr>
        <w:pStyle w:val="ListBullet"/>
      </w:pPr>
      <w:r>
        <w:rPr>
          <w:rFonts w:ascii="Calibri" w:hAnsi="Calibri" w:cs="Calibri" w:eastAsia="Calibri"/>
          <w:color w:val="1F2933"/>
          <w:sz w:val="21"/>
        </w:rPr>
        <w:t>La croissance prévisible sur trois ans.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Existant : 780 000 fichiers, 2,4 To, comptés sur le serveur de fichiers. Création : environ 9 000 documents par mois, dont 4 200 pièces comptables.</w:t>
            </w:r>
          </w:p>
          <w:p>
            <w:pPr>
              <w:spacing w:after="60" w:line="264" w:lineRule="auto"/>
            </w:pPr>
            <w:r>
              <w:rPr>
                <w:rFonts w:ascii="Calibri" w:hAnsi="Calibri" w:cs="Calibri" w:eastAsia="Calibri"/>
                <w:color w:val="1F2933"/>
                <w:sz w:val="20"/>
              </w:rPr>
              <w:t>Types retenus : pièce comptable, liasse fiscale, bulletin de paie, contrat client, courrier reçu, courrier émis, statuts et actes, procès-verbal d’assemblée, note interne, pièce justificative de frais.</w:t>
            </w:r>
          </w:p>
          <w:p>
            <w:pPr>
              <w:spacing w:after="60" w:line="264" w:lineRule="auto"/>
            </w:pPr>
            <w:r>
              <w:rPr>
                <w:rFonts w:ascii="Calibri" w:hAnsi="Calibri" w:cs="Calibri" w:eastAsia="Calibri"/>
                <w:color w:val="1F2933"/>
                <w:sz w:val="20"/>
              </w:rPr>
              <w:t>Formats : PDF majoritaire, fichiers tableur, et environ 3 % de formats propriétaires issus du logiciel de paie.</w:t>
            </w:r>
          </w:p>
          <w:p>
            <w:pPr>
              <w:spacing w:after="60" w:line="264" w:lineRule="auto"/>
            </w:pPr>
            <w:r>
              <w:rPr>
                <w:rFonts w:ascii="Calibri" w:hAnsi="Calibri" w:cs="Calibri" w:eastAsia="Calibri"/>
                <w:color w:val="1F2933"/>
                <w:sz w:val="20"/>
              </w:rPr>
              <w:t>Croissance estimée à 8 % par an, alignée sur la croissance du portefeuille.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4. Plan de classement et métadonnées</w:t>
      </w:r>
    </w:p>
    <w:p>
      <w:pPr>
        <w:pStyle w:val="EtiquetteADW"/>
      </w:pPr>
      <w:r>
        <w:t>Ce qu’on attend ici</w:t>
      </w:r>
    </w:p>
    <w:p>
      <w:pPr>
        <w:spacing w:after="120"/>
      </w:pPr>
      <w:r>
        <w:rPr>
          <w:rFonts w:ascii="Calibri" w:hAnsi="Calibri" w:cs="Calibri" w:eastAsia="Calibri"/>
          <w:color w:val="1F2933"/>
          <w:sz w:val="21"/>
        </w:rPr>
        <w:t>Aucun éditeur ne peut écrire cette section à votre place : elle décrit votre métier. C’est le travail le plus long du projet, et le seul qui ne se sous-traite pas. Un plan de classement tient en trois niveaux au maximum, comme une arborescence de site : au-delà, personne ne sait plus où déposer.</w:t>
      </w:r>
    </w:p>
    <w:p>
      <w:pPr>
        <w:spacing w:after="120"/>
      </w:pPr>
      <w:r>
        <w:rPr>
          <w:rFonts w:ascii="Calibri" w:hAnsi="Calibri" w:cs="Calibri" w:eastAsia="Calibri"/>
          <w:color w:val="1F2933"/>
          <w:sz w:val="21"/>
        </w:rPr>
        <w:t>La règle qui fait la différence entre une GED utilisée et une GED abandonnée : on cherche par métadonnées, pas par dossiers. Un document bien qualifié se retrouve depuis n’importe quel angle. Un document rangé au bon endroit ne se retrouve que si l’on se souvient de l’endroit. Décrivez donc vos métadonnées avec soin, en séparant l’obligatoire du facultatif.</w:t>
      </w:r>
    </w:p>
    <w:p>
      <w:pPr>
        <w:spacing w:after="120"/>
      </w:pPr>
      <w:r>
        <w:rPr>
          <w:rFonts w:ascii="Calibri" w:hAnsi="Calibri" w:cs="Calibri" w:eastAsia="Calibri"/>
          <w:color w:val="1F2933"/>
          <w:sz w:val="21"/>
        </w:rPr>
        <w:t>Pour chaque type de document, listez les métadonnées, leur caractère obligatoire ou non, leur format et leur source. Une métadonnée que l’utilisateur doit saisir à la main sera vide une fois sur trois ; une métadonnée reprise automatiquement d’un outil métier sera toujours juste. Cette distinction est un critère de choix d’éditeur.</w:t>
      </w:r>
    </w:p>
    <w:p>
      <w:pPr>
        <w:pStyle w:val="EtiquetteADW"/>
      </w:pPr>
      <w:r>
        <w:t>Les points à couvrir</w:t>
      </w:r>
    </w:p>
    <w:p>
      <w:pPr>
        <w:pStyle w:val="ListBullet"/>
      </w:pPr>
      <w:r>
        <w:rPr>
          <w:rFonts w:ascii="Calibri" w:hAnsi="Calibri" w:cs="Calibri" w:eastAsia="Calibri"/>
          <w:color w:val="1F2933"/>
          <w:sz w:val="21"/>
        </w:rPr>
        <w:t>Le plan de classement, trois niveaux au maximum.</w:t>
      </w:r>
    </w:p>
    <w:p>
      <w:pPr>
        <w:pStyle w:val="ListBullet"/>
      </w:pPr>
      <w:r>
        <w:rPr>
          <w:rFonts w:ascii="Calibri" w:hAnsi="Calibri" w:cs="Calibri" w:eastAsia="Calibri"/>
          <w:color w:val="1F2933"/>
          <w:sz w:val="21"/>
        </w:rPr>
        <w:t>Les métadonnées par type de document, avec obligatoire ou facultatif.</w:t>
      </w:r>
    </w:p>
    <w:p>
      <w:pPr>
        <w:pStyle w:val="ListBullet"/>
      </w:pPr>
      <w:r>
        <w:rPr>
          <w:rFonts w:ascii="Calibri" w:hAnsi="Calibri" w:cs="Calibri" w:eastAsia="Calibri"/>
          <w:color w:val="1F2933"/>
          <w:sz w:val="21"/>
        </w:rPr>
        <w:t>La source de chaque métadonnée : saisie, héritée, reprise d’un outil métier.</w:t>
      </w:r>
    </w:p>
    <w:p>
      <w:pPr>
        <w:pStyle w:val="ListBullet"/>
      </w:pPr>
      <w:r>
        <w:rPr>
          <w:rFonts w:ascii="Calibri" w:hAnsi="Calibri" w:cs="Calibri" w:eastAsia="Calibri"/>
          <w:color w:val="1F2933"/>
          <w:sz w:val="21"/>
        </w:rPr>
        <w:t>Les listes de valeurs fermées et qui les maintient.</w:t>
      </w:r>
    </w:p>
    <w:p>
      <w:pPr>
        <w:pStyle w:val="ListBullet"/>
      </w:pPr>
      <w:r>
        <w:rPr>
          <w:rFonts w:ascii="Calibri" w:hAnsi="Calibri" w:cs="Calibri" w:eastAsia="Calibri"/>
          <w:color w:val="1F2933"/>
          <w:sz w:val="21"/>
        </w:rPr>
        <w:t>Les règles de nommage automatique, si vous en voulez.</w:t>
      </w:r>
    </w:p>
    <w:p>
      <w:pPr>
        <w:pStyle w:val="ListBullet"/>
      </w:pPr>
      <w:r>
        <w:rPr>
          <w:rFonts w:ascii="Calibri" w:hAnsi="Calibri" w:cs="Calibri" w:eastAsia="Calibri"/>
          <w:color w:val="1F2933"/>
          <w:sz w:val="21"/>
        </w:rPr>
        <w:t>Le comportement attendu quand une métadonnée obligatoire manque.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Plan de classement : Client &gt; Exercice &gt; Type de pièce. Trois niveaux, pas de quatrième.</w:t>
            </w:r>
          </w:p>
          <w:p>
            <w:pPr>
              <w:spacing w:after="60" w:line="264" w:lineRule="auto"/>
            </w:pPr>
            <w:r>
              <w:rPr>
                <w:rFonts w:ascii="Calibri" w:hAnsi="Calibri" w:cs="Calibri" w:eastAsia="Calibri"/>
                <w:color w:val="1F2933"/>
                <w:sz w:val="20"/>
              </w:rPr>
              <w:t>Métadonnées d’une pièce comptable : code client (obligatoire, repris du logiciel métier), exercice (obligatoire, déduit de la date), type (obligatoire, liste fermée), numéro de pièce (facultatif), collaborateur (obligatoire, hérité de la session).</w:t>
            </w:r>
          </w:p>
          <w:p>
            <w:pPr>
              <w:spacing w:after="60" w:line="264" w:lineRule="auto"/>
            </w:pPr>
            <w:r>
              <w:rPr>
                <w:rFonts w:ascii="Calibri" w:hAnsi="Calibri" w:cs="Calibri" w:eastAsia="Calibri"/>
                <w:color w:val="1F2933"/>
                <w:sz w:val="20"/>
              </w:rPr>
              <w:t>Une seule métadonnée reste à saisir à la main : le type. Les autres sont reprises ou déduites. C’est une exigence, pas une préférence.</w:t>
            </w:r>
          </w:p>
          <w:p>
            <w:pPr>
              <w:spacing w:after="60" w:line="264" w:lineRule="auto"/>
            </w:pPr>
            <w:r>
              <w:rPr>
                <w:rFonts w:ascii="Calibri" w:hAnsi="Calibri" w:cs="Calibri" w:eastAsia="Calibri"/>
                <w:color w:val="1F2933"/>
                <w:sz w:val="20"/>
              </w:rPr>
              <w:t>Une pièce sans métadonnée obligatoire est déposée dans une corbeille de qualification, jamais rejetée : un rejet fait revenir l’utilisateur au serveur de fichiers.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5. Acquisition et numérisation</w:t>
      </w:r>
    </w:p>
    <w:p>
      <w:pPr>
        <w:pStyle w:val="EtiquetteADW"/>
      </w:pPr>
      <w:r>
        <w:t>Ce qu’on attend ici</w:t>
      </w:r>
    </w:p>
    <w:p>
      <w:pPr>
        <w:spacing w:after="120"/>
      </w:pPr>
      <w:r>
        <w:rPr>
          <w:rFonts w:ascii="Calibri" w:hAnsi="Calibri" w:cs="Calibri" w:eastAsia="Calibri"/>
          <w:color w:val="1F2933"/>
          <w:sz w:val="21"/>
        </w:rPr>
        <w:t>Décrivez par quels chemins les documents entrent. Une GED reçoit rarement ses documents d’une seule source : il y a le dépôt manuel, la numérisation, l’arrivée par messagerie, la génération automatique par un outil métier, et parfois le dépôt par un tiers extérieur. Chaque chemin a son coût et ses contraintes.</w:t>
      </w:r>
    </w:p>
    <w:p>
      <w:pPr>
        <w:spacing w:after="120"/>
      </w:pPr>
      <w:r>
        <w:rPr>
          <w:rFonts w:ascii="Calibri" w:hAnsi="Calibri" w:cs="Calibri" w:eastAsia="Calibri"/>
          <w:color w:val="1F2933"/>
          <w:sz w:val="21"/>
        </w:rPr>
        <w:t>Sur la numérisation, dites ce que vous attendez de la reconnaissance de caractères : est-elle nécessaire sur tous les documents ou seulement sur certains types, et sert-elle à la recherche plein texte ou à l’extraction automatique de métadonnées. Les deux usages ne se chiffrent pas pareil, et l’extraction automatique demande un paramétrage par type de document.</w:t>
      </w:r>
    </w:p>
    <w:p>
      <w:pPr>
        <w:spacing w:after="120"/>
      </w:pPr>
      <w:r>
        <w:rPr>
          <w:rFonts w:ascii="Calibri" w:hAnsi="Calibri" w:cs="Calibri" w:eastAsia="Calibri"/>
          <w:color w:val="1F2933"/>
          <w:sz w:val="21"/>
        </w:rPr>
        <w:t>Précisez enfin ce qui se passe pour le stock existant : numérisation en interne, prestation externe, ou pas de numérisation du tout. C’est un poste de budget qui peut dépasser celui du logiciel lui-même.</w:t>
      </w:r>
    </w:p>
    <w:p>
      <w:pPr>
        <w:pStyle w:val="EtiquetteADW"/>
      </w:pPr>
      <w:r>
        <w:t>Les points à couvrir</w:t>
      </w:r>
    </w:p>
    <w:p>
      <w:pPr>
        <w:pStyle w:val="ListBullet"/>
      </w:pPr>
      <w:r>
        <w:rPr>
          <w:rFonts w:ascii="Calibri" w:hAnsi="Calibri" w:cs="Calibri" w:eastAsia="Calibri"/>
          <w:color w:val="1F2933"/>
          <w:sz w:val="21"/>
        </w:rPr>
        <w:t>Les chemins d’entrée : dépôt manuel, numérisation, messagerie, outil métier, tiers.</w:t>
      </w:r>
    </w:p>
    <w:p>
      <w:pPr>
        <w:pStyle w:val="ListBullet"/>
      </w:pPr>
      <w:r>
        <w:rPr>
          <w:rFonts w:ascii="Calibri" w:hAnsi="Calibri" w:cs="Calibri" w:eastAsia="Calibri"/>
          <w:color w:val="1F2933"/>
          <w:sz w:val="21"/>
        </w:rPr>
        <w:t>Le volume attendu par chemin.</w:t>
      </w:r>
    </w:p>
    <w:p>
      <w:pPr>
        <w:pStyle w:val="ListBullet"/>
      </w:pPr>
      <w:r>
        <w:rPr>
          <w:rFonts w:ascii="Calibri" w:hAnsi="Calibri" w:cs="Calibri" w:eastAsia="Calibri"/>
          <w:color w:val="1F2933"/>
          <w:sz w:val="21"/>
        </w:rPr>
        <w:t>Le besoin de reconnaissance de caractères, par type de document.</w:t>
      </w:r>
    </w:p>
    <w:p>
      <w:pPr>
        <w:pStyle w:val="ListBullet"/>
      </w:pPr>
      <w:r>
        <w:rPr>
          <w:rFonts w:ascii="Calibri" w:hAnsi="Calibri" w:cs="Calibri" w:eastAsia="Calibri"/>
          <w:color w:val="1F2933"/>
          <w:sz w:val="21"/>
        </w:rPr>
        <w:t>L’extraction automatique de métadonnées attendue, et sur quels types.</w:t>
      </w:r>
    </w:p>
    <w:p>
      <w:pPr>
        <w:pStyle w:val="ListBullet"/>
      </w:pPr>
      <w:r>
        <w:rPr>
          <w:rFonts w:ascii="Calibri" w:hAnsi="Calibri" w:cs="Calibri" w:eastAsia="Calibri"/>
          <w:color w:val="1F2933"/>
          <w:sz w:val="21"/>
        </w:rPr>
        <w:t>Le matériel de numérisation existant et son état.</w:t>
      </w:r>
    </w:p>
    <w:p>
      <w:pPr>
        <w:pStyle w:val="ListBullet"/>
      </w:pPr>
      <w:r>
        <w:rPr>
          <w:rFonts w:ascii="Calibri" w:hAnsi="Calibri" w:cs="Calibri" w:eastAsia="Calibri"/>
          <w:color w:val="1F2933"/>
          <w:sz w:val="21"/>
        </w:rPr>
        <w:t>Le sort du stock papier existant, et qui le traite.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Chemins : dépôt manuel par le collaborateur (60 %), génération automatique par le logiciel de production comptable (30 %), numérisation du courrier reçu (10 %).</w:t>
            </w:r>
          </w:p>
          <w:p>
            <w:pPr>
              <w:spacing w:after="60" w:line="264" w:lineRule="auto"/>
            </w:pPr>
            <w:r>
              <w:rPr>
                <w:rFonts w:ascii="Calibri" w:hAnsi="Calibri" w:cs="Calibri" w:eastAsia="Calibri"/>
                <w:color w:val="1F2933"/>
                <w:sz w:val="20"/>
              </w:rPr>
              <w:t>Reconnaissance de caractères attendue sur tous les documents numérisés, pour la recherche plein texte.</w:t>
            </w:r>
          </w:p>
          <w:p>
            <w:pPr>
              <w:spacing w:after="60" w:line="264" w:lineRule="auto"/>
            </w:pPr>
            <w:r>
              <w:rPr>
                <w:rFonts w:ascii="Calibri" w:hAnsi="Calibri" w:cs="Calibri" w:eastAsia="Calibri"/>
                <w:color w:val="1F2933"/>
                <w:sz w:val="20"/>
              </w:rPr>
              <w:t>Extraction automatique attendue uniquement sur les factures fournisseurs : fournisseur, date, montant, numéro.</w:t>
            </w:r>
          </w:p>
          <w:p>
            <w:pPr>
              <w:spacing w:after="60" w:line="264" w:lineRule="auto"/>
            </w:pPr>
            <w:r>
              <w:rPr>
                <w:rFonts w:ascii="Calibri" w:hAnsi="Calibri" w:cs="Calibri" w:eastAsia="Calibri"/>
                <w:color w:val="1F2933"/>
                <w:sz w:val="20"/>
              </w:rPr>
              <w:t>Stock papier : les cinq derniers exercices sont numérisés par un prestataire externe, chiffré séparément. Au-delà, conservation physique en l’état.</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6. Recherche et consultation</w:t>
      </w:r>
    </w:p>
    <w:p>
      <w:pPr>
        <w:pStyle w:val="EtiquetteADW"/>
      </w:pPr>
      <w:r>
        <w:t>Ce qu’on attend ici</w:t>
      </w:r>
    </w:p>
    <w:p>
      <w:pPr>
        <w:spacing w:after="120"/>
      </w:pPr>
      <w:r>
        <w:rPr>
          <w:rFonts w:ascii="Calibri" w:hAnsi="Calibri" w:cs="Calibri" w:eastAsia="Calibri"/>
          <w:color w:val="1F2933"/>
          <w:sz w:val="21"/>
        </w:rPr>
        <w:t>Décrivez comment vos équipes chercheront, en partant de ce qu’elles connaissent au moment de chercher. Un comptable connaît le nom du client et l’exercice, rarement le nom du fichier. Un juriste connaît la contrepartie et l’année. Formulez les recherches types comme des phrases, c’est ce qui se teste.</w:t>
      </w:r>
    </w:p>
    <w:p>
      <w:pPr>
        <w:spacing w:after="120"/>
      </w:pPr>
      <w:r>
        <w:rPr>
          <w:rFonts w:ascii="Calibri" w:hAnsi="Calibri" w:cs="Calibri" w:eastAsia="Calibri"/>
          <w:color w:val="1F2933"/>
          <w:sz w:val="21"/>
        </w:rPr>
        <w:t>Précisez ce que la recherche doit couvrir : les métadonnées seules, ou aussi le contenu des documents. La recherche plein texte suppose la reconnaissance de caractères de la section précédente et un index, dont le coût croît avec la volumétrie. Dites aussi combien de temps une recherche peut prendre : une exigence chiffrée se vérifie, un adjectif ne se vérifie pas.</w:t>
      </w:r>
    </w:p>
    <w:p>
      <w:pPr>
        <w:pStyle w:val="EtiquetteADW"/>
      </w:pPr>
      <w:r>
        <w:t>Les points à couvrir</w:t>
      </w:r>
    </w:p>
    <w:p>
      <w:pPr>
        <w:pStyle w:val="ListBullet"/>
      </w:pPr>
      <w:r>
        <w:rPr>
          <w:rFonts w:ascii="Calibri" w:hAnsi="Calibri" w:cs="Calibri" w:eastAsia="Calibri"/>
          <w:color w:val="1F2933"/>
          <w:sz w:val="21"/>
        </w:rPr>
        <w:t>Les cinq à dix recherches types, formulées en phrases.</w:t>
      </w:r>
    </w:p>
    <w:p>
      <w:pPr>
        <w:pStyle w:val="ListBullet"/>
      </w:pPr>
      <w:r>
        <w:rPr>
          <w:rFonts w:ascii="Calibri" w:hAnsi="Calibri" w:cs="Calibri" w:eastAsia="Calibri"/>
          <w:color w:val="1F2933"/>
          <w:sz w:val="21"/>
        </w:rPr>
        <w:t>Ce que la recherche couvre : métadonnées, plein texte, ou les deux.</w:t>
      </w:r>
    </w:p>
    <w:p>
      <w:pPr>
        <w:pStyle w:val="ListBullet"/>
      </w:pPr>
      <w:r>
        <w:rPr>
          <w:rFonts w:ascii="Calibri" w:hAnsi="Calibri" w:cs="Calibri" w:eastAsia="Calibri"/>
          <w:color w:val="1F2933"/>
          <w:sz w:val="21"/>
        </w:rPr>
        <w:t>Le temps de réponse attendu, chiffré, sur la volumétrie cible.</w:t>
      </w:r>
    </w:p>
    <w:p>
      <w:pPr>
        <w:pStyle w:val="ListBullet"/>
      </w:pPr>
      <w:r>
        <w:rPr>
          <w:rFonts w:ascii="Calibri" w:hAnsi="Calibri" w:cs="Calibri" w:eastAsia="Calibri"/>
          <w:color w:val="1F2933"/>
          <w:sz w:val="21"/>
        </w:rPr>
        <w:t>La prévisualisation attendue et les formats concernés.</w:t>
      </w:r>
    </w:p>
    <w:p>
      <w:pPr>
        <w:pStyle w:val="ListBullet"/>
      </w:pPr>
      <w:r>
        <w:rPr>
          <w:rFonts w:ascii="Calibri" w:hAnsi="Calibri" w:cs="Calibri" w:eastAsia="Calibri"/>
          <w:color w:val="1F2933"/>
          <w:sz w:val="21"/>
        </w:rPr>
        <w:t>Le partage vers l’extérieur : lien temporaire, export, envoi.</w:t>
      </w:r>
    </w:p>
    <w:p>
      <w:pPr>
        <w:pStyle w:val="ListBullet"/>
      </w:pPr>
      <w:r>
        <w:rPr>
          <w:rFonts w:ascii="Calibri" w:hAnsi="Calibri" w:cs="Calibri" w:eastAsia="Calibri"/>
          <w:color w:val="1F2933"/>
          <w:sz w:val="21"/>
        </w:rPr>
        <w:t>La consultation hors du bureau, et sur quels appareils.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Recherche type : « toutes les pièces du client Martin pour l’exercice 2025 ». « Le dernier contrat signé avec ce fournisseur ». « Les bulletins de paie de ce salarié sur trois ans ».</w:t>
            </w:r>
          </w:p>
          <w:p>
            <w:pPr>
              <w:spacing w:after="60" w:line="264" w:lineRule="auto"/>
            </w:pPr>
            <w:r>
              <w:rPr>
                <w:rFonts w:ascii="Calibri" w:hAnsi="Calibri" w:cs="Calibri" w:eastAsia="Calibri"/>
                <w:color w:val="1F2933"/>
                <w:sz w:val="20"/>
              </w:rPr>
              <w:t>Recherche plein texte attendue sur les contrats et les courriers, métadonnées seules sur les pièces comptables.</w:t>
            </w:r>
          </w:p>
          <w:p>
            <w:pPr>
              <w:spacing w:after="60" w:line="264" w:lineRule="auto"/>
            </w:pPr>
            <w:r>
              <w:rPr>
                <w:rFonts w:ascii="Calibri" w:hAnsi="Calibri" w:cs="Calibri" w:eastAsia="Calibri"/>
                <w:color w:val="1F2933"/>
                <w:sz w:val="20"/>
              </w:rPr>
              <w:t>Temps de réponse attendu : moins de trois secondes sur la volumétrie cible de 2,4 To.</w:t>
            </w:r>
          </w:p>
          <w:p>
            <w:pPr>
              <w:spacing w:after="60" w:line="264" w:lineRule="auto"/>
            </w:pPr>
            <w:r>
              <w:rPr>
                <w:rFonts w:ascii="Calibri" w:hAnsi="Calibri" w:cs="Calibri" w:eastAsia="Calibri"/>
                <w:color w:val="1F2933"/>
                <w:sz w:val="20"/>
              </w:rPr>
              <w:t>Partage externe : lien temporaire à durée limitée, traçable, jamais de pièce jointe par messagerie.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7. Workflows et circuits de validation</w:t>
      </w:r>
    </w:p>
    <w:p>
      <w:pPr>
        <w:pStyle w:val="EtiquetteADW"/>
      </w:pPr>
      <w:r>
        <w:t>Ce qu’on attend ici</w:t>
      </w:r>
    </w:p>
    <w:p>
      <w:pPr>
        <w:spacing w:after="120"/>
      </w:pPr>
      <w:r>
        <w:rPr>
          <w:rFonts w:ascii="Calibri" w:hAnsi="Calibri" w:cs="Calibri" w:eastAsia="Calibri"/>
          <w:color w:val="1F2933"/>
          <w:sz w:val="21"/>
        </w:rPr>
        <w:t>Écrivez les circuits avec les personnes qui les vivent, pas avec la direction seule. Un circuit de validation écrit d’en haut est contourné dans les six mois, et la GED devient un dépôt passif. Décrivez chaque circuit par ses étapes, ses acteurs, ses délais et son comportement en cas d’absence.</w:t>
      </w:r>
    </w:p>
    <w:p>
      <w:pPr>
        <w:spacing w:after="120"/>
      </w:pPr>
      <w:r>
        <w:rPr>
          <w:rFonts w:ascii="Calibri" w:hAnsi="Calibri" w:cs="Calibri" w:eastAsia="Calibri"/>
          <w:color w:val="1F2933"/>
          <w:sz w:val="21"/>
        </w:rPr>
        <w:t>La question la plus souvent oubliée est celle de l’absence : que se passe-t-il quand le valideur est en congé ? Un circuit sans suppléant ni délai d’escalade bloque, et le contournement consiste à sortir le document de la GED. Prévoyez aussi la relance automatique et la traçabilité de chaque décision.</w:t>
      </w:r>
    </w:p>
    <w:p>
      <w:pPr>
        <w:pStyle w:val="EtiquetteADW"/>
      </w:pPr>
      <w:r>
        <w:t>Les points à couvrir</w:t>
      </w:r>
    </w:p>
    <w:p>
      <w:pPr>
        <w:pStyle w:val="ListBullet"/>
      </w:pPr>
      <w:r>
        <w:rPr>
          <w:rFonts w:ascii="Calibri" w:hAnsi="Calibri" w:cs="Calibri" w:eastAsia="Calibri"/>
          <w:color w:val="1F2933"/>
          <w:sz w:val="21"/>
        </w:rPr>
        <w:t>La liste des circuits, avec leur volume mensuel.</w:t>
      </w:r>
    </w:p>
    <w:p>
      <w:pPr>
        <w:pStyle w:val="ListBullet"/>
      </w:pPr>
      <w:r>
        <w:rPr>
          <w:rFonts w:ascii="Calibri" w:hAnsi="Calibri" w:cs="Calibri" w:eastAsia="Calibri"/>
          <w:color w:val="1F2933"/>
          <w:sz w:val="21"/>
        </w:rPr>
        <w:t>Les étapes, les acteurs et les délais attendus de chacun.</w:t>
      </w:r>
    </w:p>
    <w:p>
      <w:pPr>
        <w:pStyle w:val="ListBullet"/>
      </w:pPr>
      <w:r>
        <w:rPr>
          <w:rFonts w:ascii="Calibri" w:hAnsi="Calibri" w:cs="Calibri" w:eastAsia="Calibri"/>
          <w:color w:val="1F2933"/>
          <w:sz w:val="21"/>
        </w:rPr>
        <w:t>Le comportement en cas d’absence : suppléant, escalade, délai.</w:t>
      </w:r>
    </w:p>
    <w:p>
      <w:pPr>
        <w:pStyle w:val="ListBullet"/>
      </w:pPr>
      <w:r>
        <w:rPr>
          <w:rFonts w:ascii="Calibri" w:hAnsi="Calibri" w:cs="Calibri" w:eastAsia="Calibri"/>
          <w:color w:val="1F2933"/>
          <w:sz w:val="21"/>
        </w:rPr>
        <w:t>Les relances automatiques et leur rythme.</w:t>
      </w:r>
    </w:p>
    <w:p>
      <w:pPr>
        <w:pStyle w:val="ListBullet"/>
      </w:pPr>
      <w:r>
        <w:rPr>
          <w:rFonts w:ascii="Calibri" w:hAnsi="Calibri" w:cs="Calibri" w:eastAsia="Calibri"/>
          <w:color w:val="1F2933"/>
          <w:sz w:val="21"/>
        </w:rPr>
        <w:t>La traçabilité attendue : qui a validé quoi, quand, et depuis où.</w:t>
      </w:r>
    </w:p>
    <w:p>
      <w:pPr>
        <w:pStyle w:val="ListBullet"/>
      </w:pPr>
      <w:r>
        <w:rPr>
          <w:rFonts w:ascii="Calibri" w:hAnsi="Calibri" w:cs="Calibri" w:eastAsia="Calibri"/>
          <w:color w:val="1F2933"/>
          <w:sz w:val="21"/>
        </w:rPr>
        <w:t>Les notifications, leur canal et leur fréquence.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Circuit « facture fournisseur » : dépôt, contrôle comptable sous deux jours, validation de l’associé référent sous trois jours, mise en paiement. Environ 180 par mois.</w:t>
            </w:r>
          </w:p>
          <w:p>
            <w:pPr>
              <w:spacing w:after="60" w:line="264" w:lineRule="auto"/>
            </w:pPr>
            <w:r>
              <w:rPr>
                <w:rFonts w:ascii="Calibri" w:hAnsi="Calibri" w:cs="Calibri" w:eastAsia="Calibri"/>
                <w:color w:val="1F2933"/>
                <w:sz w:val="20"/>
              </w:rPr>
              <w:t>Absence : le suppléant est désigné par service, et le circuit escalade automatiquement à l’associé gérant après cinq jours sans décision.</w:t>
            </w:r>
          </w:p>
          <w:p>
            <w:pPr>
              <w:spacing w:after="60" w:line="264" w:lineRule="auto"/>
            </w:pPr>
            <w:r>
              <w:rPr>
                <w:rFonts w:ascii="Calibri" w:hAnsi="Calibri" w:cs="Calibri" w:eastAsia="Calibri"/>
                <w:color w:val="1F2933"/>
                <w:sz w:val="20"/>
              </w:rPr>
              <w:t>Relance automatique le deuxième jour, puis tous les deux jours.</w:t>
            </w:r>
          </w:p>
          <w:p>
            <w:pPr>
              <w:spacing w:after="60" w:line="264" w:lineRule="auto"/>
            </w:pPr>
            <w:r>
              <w:rPr>
                <w:rFonts w:ascii="Calibri" w:hAnsi="Calibri" w:cs="Calibri" w:eastAsia="Calibri"/>
                <w:color w:val="1F2933"/>
                <w:sz w:val="20"/>
              </w:rPr>
              <w:t>Traçabilité : chaque décision est horodatée et attribuée nominativement, et l’historique est exportable.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8. Cycle de vie, conservation et archivage</w:t>
      </w:r>
    </w:p>
    <w:p>
      <w:pPr>
        <w:pStyle w:val="EtiquetteADW"/>
      </w:pPr>
      <w:r>
        <w:t>Ce qu’on attend ici</w:t>
      </w:r>
    </w:p>
    <w:p>
      <w:pPr>
        <w:spacing w:after="120"/>
      </w:pPr>
      <w:r>
        <w:rPr>
          <w:rFonts w:ascii="Calibri" w:hAnsi="Calibri" w:cs="Calibri" w:eastAsia="Calibri"/>
          <w:color w:val="1F2933"/>
          <w:sz w:val="21"/>
        </w:rPr>
        <w:t>Distinguez deux choses que l’on confond systématiquement, et qui ne se chiffrent pas pareil. La conservation, c’est garder un document pendant sa durée utile et le supprimer ensuite. L’archivage à valeur probante, c’est garantir qu’un document n’a pas été modifié et pourra être opposé, ce qui suppose des dispositifs et des coûts d’un autre ordre.</w:t>
      </w:r>
    </w:p>
    <w:p>
      <w:pPr>
        <w:spacing w:after="120"/>
      </w:pPr>
      <w:r>
        <w:rPr>
          <w:rFonts w:ascii="Calibri" w:hAnsi="Calibri" w:cs="Calibri" w:eastAsia="Calibri"/>
          <w:color w:val="1F2933"/>
          <w:sz w:val="21"/>
        </w:rPr>
        <w:t>Écrivez, type par type, la durée de conservation et son point de départ. Le point de départ compte autant que la durée : une durée qui court à partir de la fin de la relation commerciale ne se calcule pas comme une durée qui court à partir de la date du document. Indiquez la référence qui fonde chaque durée, et faites valider cette section par votre conseil ou votre délégué à la protection des données plutôt que de la remplir de mémoire.</w:t>
      </w:r>
    </w:p>
    <w:p>
      <w:pPr>
        <w:spacing w:after="120"/>
      </w:pPr>
      <w:r>
        <w:rPr>
          <w:rFonts w:ascii="Calibri" w:hAnsi="Calibri" w:cs="Calibri" w:eastAsia="Calibri"/>
          <w:color w:val="1F2933"/>
          <w:sz w:val="21"/>
        </w:rPr>
        <w:t>Décrivez enfin ce qui se passe à l’échéance : suppression automatique, suppression après validation humaine, ou versement à un archivage à long terme. Une GED qui ne purge jamais devient le problème qu’elle devait résoudre.</w:t>
      </w:r>
    </w:p>
    <w:p>
      <w:pPr>
        <w:pStyle w:val="EtiquetteADW"/>
      </w:pPr>
      <w:r>
        <w:t>Les points à couvrir</w:t>
      </w:r>
    </w:p>
    <w:p>
      <w:pPr>
        <w:pStyle w:val="ListBullet"/>
      </w:pPr>
      <w:r>
        <w:rPr>
          <w:rFonts w:ascii="Calibri" w:hAnsi="Calibri" w:cs="Calibri" w:eastAsia="Calibri"/>
          <w:color w:val="1F2933"/>
          <w:sz w:val="21"/>
        </w:rPr>
        <w:t>La durée de conservation par type de document, avec son point de départ.</w:t>
      </w:r>
    </w:p>
    <w:p>
      <w:pPr>
        <w:pStyle w:val="ListBullet"/>
      </w:pPr>
      <w:r>
        <w:rPr>
          <w:rFonts w:ascii="Calibri" w:hAnsi="Calibri" w:cs="Calibri" w:eastAsia="Calibri"/>
          <w:color w:val="1F2933"/>
          <w:sz w:val="21"/>
        </w:rPr>
        <w:t>La référence qui fonde chaque durée, et qui l’a validée.</w:t>
      </w:r>
    </w:p>
    <w:p>
      <w:pPr>
        <w:pStyle w:val="ListBullet"/>
      </w:pPr>
      <w:r>
        <w:rPr>
          <w:rFonts w:ascii="Calibri" w:hAnsi="Calibri" w:cs="Calibri" w:eastAsia="Calibri"/>
          <w:color w:val="1F2933"/>
          <w:sz w:val="21"/>
        </w:rPr>
        <w:t>Les documents qui relèvent d’un archivage à valeur probante, s’il y en a.</w:t>
      </w:r>
    </w:p>
    <w:p>
      <w:pPr>
        <w:pStyle w:val="ListBullet"/>
      </w:pPr>
      <w:r>
        <w:rPr>
          <w:rFonts w:ascii="Calibri" w:hAnsi="Calibri" w:cs="Calibri" w:eastAsia="Calibri"/>
          <w:color w:val="1F2933"/>
          <w:sz w:val="21"/>
        </w:rPr>
        <w:t>Le comportement à l’échéance : purge automatique, validation, versement.</w:t>
      </w:r>
    </w:p>
    <w:p>
      <w:pPr>
        <w:pStyle w:val="ListBullet"/>
      </w:pPr>
      <w:r>
        <w:rPr>
          <w:rFonts w:ascii="Calibri" w:hAnsi="Calibri" w:cs="Calibri" w:eastAsia="Calibri"/>
          <w:color w:val="1F2933"/>
          <w:sz w:val="21"/>
        </w:rPr>
        <w:t>La gestion des versions et ce qui fait foi.</w:t>
      </w:r>
    </w:p>
    <w:p>
      <w:pPr>
        <w:pStyle w:val="ListBullet"/>
      </w:pPr>
      <w:r>
        <w:rPr>
          <w:rFonts w:ascii="Calibri" w:hAnsi="Calibri" w:cs="Calibri" w:eastAsia="Calibri"/>
          <w:color w:val="1F2933"/>
          <w:sz w:val="21"/>
        </w:rPr>
        <w:t>Les obligations de suppression à la demande, pour les données personnelles.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Pièces comptables : dix ans à compter de la clôture de l’exercice. Contrats clients : durée de la relation puis cinq ans. Bulletins de paie : cinquante ans. Durées validées par le conseil du cabinet, section relue en juin.</w:t>
            </w:r>
          </w:p>
          <w:p>
            <w:pPr>
              <w:spacing w:after="60" w:line="264" w:lineRule="auto"/>
            </w:pPr>
            <w:r>
              <w:rPr>
                <w:rFonts w:ascii="Calibri" w:hAnsi="Calibri" w:cs="Calibri" w:eastAsia="Calibri"/>
                <w:color w:val="1F2933"/>
                <w:sz w:val="20"/>
              </w:rPr>
              <w:t>Valeur probante attendue uniquement sur les procès-verbaux d’assemblée et les actes. Le reste relève de la conservation simple.</w:t>
            </w:r>
          </w:p>
          <w:p>
            <w:pPr>
              <w:spacing w:after="60" w:line="264" w:lineRule="auto"/>
            </w:pPr>
            <w:r>
              <w:rPr>
                <w:rFonts w:ascii="Calibri" w:hAnsi="Calibri" w:cs="Calibri" w:eastAsia="Calibri"/>
                <w:color w:val="1F2933"/>
                <w:sz w:val="20"/>
              </w:rPr>
              <w:t>À l’échéance : proposition de purge annuelle validée par l’associé gérant, jamais de suppression automatique silencieuse.</w:t>
            </w:r>
          </w:p>
          <w:p>
            <w:pPr>
              <w:spacing w:after="60" w:line="264" w:lineRule="auto"/>
            </w:pPr>
            <w:r>
              <w:rPr>
                <w:rFonts w:ascii="Calibri" w:hAnsi="Calibri" w:cs="Calibri" w:eastAsia="Calibri"/>
                <w:color w:val="1F2933"/>
                <w:sz w:val="20"/>
              </w:rPr>
              <w:t>Versions : la dernière version fait foi, les précédentes restent consultables pendant la durée de conservation.</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9. Droits, sécurité et traçabilité</w:t>
      </w:r>
    </w:p>
    <w:p>
      <w:pPr>
        <w:pStyle w:val="EtiquetteADW"/>
      </w:pPr>
      <w:r>
        <w:t>Ce qu’on attend ici</w:t>
      </w:r>
    </w:p>
    <w:p>
      <w:pPr>
        <w:spacing w:after="120"/>
      </w:pPr>
      <w:r>
        <w:rPr>
          <w:rFonts w:ascii="Calibri" w:hAnsi="Calibri" w:cs="Calibri" w:eastAsia="Calibri"/>
          <w:color w:val="1F2933"/>
          <w:sz w:val="21"/>
        </w:rPr>
        <w:t>Décrivez qui voit quoi, en partant des rôles et non des personnes. Un modèle de droits bâti sur des noms devient ingérable au premier recrutement. Précisez si les droits se calculent sur le plan de classement, sur les métadonnées, ou sur les deux : la différence est structurante et tous les produits ne savent pas faire les deux.</w:t>
      </w:r>
    </w:p>
    <w:p>
      <w:pPr>
        <w:spacing w:after="120"/>
      </w:pPr>
      <w:r>
        <w:rPr>
          <w:rFonts w:ascii="Calibri" w:hAnsi="Calibri" w:cs="Calibri" w:eastAsia="Calibri"/>
          <w:color w:val="1F2933"/>
          <w:sz w:val="21"/>
        </w:rPr>
        <w:t>Sur la traçabilité, dites ce que vous voulez pouvoir prouver et pendant combien de temps : les consultations, les modifications, les suppressions, les exports. Un journal d’activité est une fonctionnalité à demander explicitement, avec sa durée de conservation propre et son mode d’export.</w:t>
      </w:r>
    </w:p>
    <w:p>
      <w:pPr>
        <w:pStyle w:val="EtiquetteADW"/>
      </w:pPr>
      <w:r>
        <w:t>Les points à couvrir</w:t>
      </w:r>
    </w:p>
    <w:p>
      <w:pPr>
        <w:pStyle w:val="ListBullet"/>
      </w:pPr>
      <w:r>
        <w:rPr>
          <w:rFonts w:ascii="Calibri" w:hAnsi="Calibri" w:cs="Calibri" w:eastAsia="Calibri"/>
          <w:color w:val="1F2933"/>
          <w:sz w:val="21"/>
        </w:rPr>
        <w:t>Les rôles, et ce que chacun peut voir, déposer, modifier, supprimer, exporter.</w:t>
      </w:r>
    </w:p>
    <w:p>
      <w:pPr>
        <w:pStyle w:val="ListBullet"/>
      </w:pPr>
      <w:r>
        <w:rPr>
          <w:rFonts w:ascii="Calibri" w:hAnsi="Calibri" w:cs="Calibri" w:eastAsia="Calibri"/>
          <w:color w:val="1F2933"/>
          <w:sz w:val="21"/>
        </w:rPr>
        <w:t>La base de calcul des droits : classement, métadonnées, ou les deux.</w:t>
      </w:r>
    </w:p>
    <w:p>
      <w:pPr>
        <w:pStyle w:val="ListBullet"/>
      </w:pPr>
      <w:r>
        <w:rPr>
          <w:rFonts w:ascii="Calibri" w:hAnsi="Calibri" w:cs="Calibri" w:eastAsia="Calibri"/>
          <w:color w:val="1F2933"/>
          <w:sz w:val="21"/>
        </w:rPr>
        <w:t>L’authentification attendue et le rattachement à l’annuaire existant.</w:t>
      </w:r>
    </w:p>
    <w:p>
      <w:pPr>
        <w:pStyle w:val="ListBullet"/>
      </w:pPr>
      <w:r>
        <w:rPr>
          <w:rFonts w:ascii="Calibri" w:hAnsi="Calibri" w:cs="Calibri" w:eastAsia="Calibri"/>
          <w:color w:val="1F2933"/>
          <w:sz w:val="21"/>
        </w:rPr>
        <w:t>Le journal d’activité : ce qu’il trace, combien de temps, comment il s’exporte.</w:t>
      </w:r>
    </w:p>
    <w:p>
      <w:pPr>
        <w:pStyle w:val="ListBullet"/>
      </w:pPr>
      <w:r>
        <w:rPr>
          <w:rFonts w:ascii="Calibri" w:hAnsi="Calibri" w:cs="Calibri" w:eastAsia="Calibri"/>
          <w:color w:val="1F2933"/>
          <w:sz w:val="21"/>
        </w:rPr>
        <w:t>Le chiffrement attendu, au repos et en transit.</w:t>
      </w:r>
    </w:p>
    <w:p>
      <w:pPr>
        <w:pStyle w:val="ListBullet"/>
      </w:pPr>
      <w:r>
        <w:rPr>
          <w:rFonts w:ascii="Calibri" w:hAnsi="Calibri" w:cs="Calibri" w:eastAsia="Calibri"/>
          <w:color w:val="1F2933"/>
          <w:sz w:val="21"/>
        </w:rPr>
        <w:t>Les sauvegardes, leur fréquence et le test de restauration.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Rôles : collaborateur (dépose et consulte ses dossiers), responsable de portefeuille (consulte tout son portefeuille), associé (tout), administratif (dépose le courrier, ne consulte pas les dossiers).</w:t>
            </w:r>
          </w:p>
          <w:p>
            <w:pPr>
              <w:spacing w:after="60" w:line="264" w:lineRule="auto"/>
            </w:pPr>
            <w:r>
              <w:rPr>
                <w:rFonts w:ascii="Calibri" w:hAnsi="Calibri" w:cs="Calibri" w:eastAsia="Calibri"/>
                <w:color w:val="1F2933"/>
                <w:sz w:val="20"/>
              </w:rPr>
              <w:t>Droits calculés sur le code client, une métadonnée, et non sur l’emplacement.</w:t>
            </w:r>
          </w:p>
          <w:p>
            <w:pPr>
              <w:spacing w:after="60" w:line="264" w:lineRule="auto"/>
            </w:pPr>
            <w:r>
              <w:rPr>
                <w:rFonts w:ascii="Calibri" w:hAnsi="Calibri" w:cs="Calibri" w:eastAsia="Calibri"/>
                <w:color w:val="1F2933"/>
                <w:sz w:val="20"/>
              </w:rPr>
              <w:t>Authentification par l’annuaire existant du cabinet, sans second mot de passe.</w:t>
            </w:r>
          </w:p>
          <w:p>
            <w:pPr>
              <w:spacing w:after="60" w:line="264" w:lineRule="auto"/>
            </w:pPr>
            <w:r>
              <w:rPr>
                <w:rFonts w:ascii="Calibri" w:hAnsi="Calibri" w:cs="Calibri" w:eastAsia="Calibri"/>
                <w:color w:val="1F2933"/>
                <w:sz w:val="20"/>
              </w:rPr>
              <w:t>Journal d’activité conservé trois ans, exportable, traçant consultations, modifications, suppressions et exports.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10. Intégrations avec les outils métier</w:t>
      </w:r>
    </w:p>
    <w:p>
      <w:pPr>
        <w:pStyle w:val="EtiquetteADW"/>
      </w:pPr>
      <w:r>
        <w:t>Ce qu’on attend ici</w:t>
      </w:r>
    </w:p>
    <w:p>
      <w:pPr>
        <w:spacing w:after="120"/>
      </w:pPr>
      <w:r>
        <w:rPr>
          <w:rFonts w:ascii="Calibri" w:hAnsi="Calibri" w:cs="Calibri" w:eastAsia="Calibri"/>
          <w:color w:val="1F2933"/>
          <w:sz w:val="21"/>
        </w:rPr>
        <w:t>Une GED isolée finit inutilisée : le collaborateur reste dans son outil métier et dépose « plus tard ». Les intégrations ne sont donc pas un confort, elles décident de l’adoption. Décrivez chaque flux séparément avec cinq informations : quelle donnée, dans quel sens, à quelle fréquence, par quel moyen, et quel système fait foi en cas de désaccord.</w:t>
      </w:r>
    </w:p>
    <w:p>
      <w:pPr>
        <w:spacing w:after="120"/>
      </w:pPr>
      <w:r>
        <w:rPr>
          <w:rFonts w:ascii="Calibri" w:hAnsi="Calibri" w:cs="Calibri" w:eastAsia="Calibri"/>
          <w:color w:val="1F2933"/>
          <w:sz w:val="21"/>
        </w:rPr>
        <w:t>Regardez en particulier trois intégrations qui reviennent toujours : le logiciel métier qui génère des documents, la messagerie d’où viennent les pièces jointes, et l’annuaire qui porte les identités. Si vous ne connaissez pas la réponse technique, écrivez le besoin et la mention « moyen à instruire avec l’éditeur », puis prévenez cet éditeur dès la consultation : son délai est un risque de calendrier extérieur à votre prestataire.</w:t>
      </w:r>
    </w:p>
    <w:p>
      <w:pPr>
        <w:pStyle w:val="EtiquetteADW"/>
      </w:pPr>
      <w:r>
        <w:t>Les points à couvrir</w:t>
      </w:r>
    </w:p>
    <w:p>
      <w:pPr>
        <w:pStyle w:val="ListBullet"/>
      </w:pPr>
      <w:r>
        <w:rPr>
          <w:rFonts w:ascii="Calibri" w:hAnsi="Calibri" w:cs="Calibri" w:eastAsia="Calibri"/>
          <w:color w:val="1F2933"/>
          <w:sz w:val="21"/>
        </w:rPr>
        <w:t>La liste des outils à connecter, avec leur éditeur et leur version.</w:t>
      </w:r>
    </w:p>
    <w:p>
      <w:pPr>
        <w:pStyle w:val="ListBullet"/>
      </w:pPr>
      <w:r>
        <w:rPr>
          <w:rFonts w:ascii="Calibri" w:hAnsi="Calibri" w:cs="Calibri" w:eastAsia="Calibri"/>
          <w:color w:val="1F2933"/>
          <w:sz w:val="21"/>
        </w:rPr>
        <w:t>Pour chaque flux : donnée, sens, fréquence, moyen, système qui fait foi.</w:t>
      </w:r>
    </w:p>
    <w:p>
      <w:pPr>
        <w:pStyle w:val="ListBullet"/>
      </w:pPr>
      <w:r>
        <w:rPr>
          <w:rFonts w:ascii="Calibri" w:hAnsi="Calibri" w:cs="Calibri" w:eastAsia="Calibri"/>
          <w:color w:val="1F2933"/>
          <w:sz w:val="21"/>
        </w:rPr>
        <w:t>L’existence d’une interface de programmation documentée, et son coût.</w:t>
      </w:r>
    </w:p>
    <w:p>
      <w:pPr>
        <w:pStyle w:val="ListBullet"/>
      </w:pPr>
      <w:r>
        <w:rPr>
          <w:rFonts w:ascii="Calibri" w:hAnsi="Calibri" w:cs="Calibri" w:eastAsia="Calibri"/>
          <w:color w:val="1F2933"/>
          <w:sz w:val="21"/>
        </w:rPr>
        <w:t>Le dépôt depuis la messagerie et depuis les postes de travail.</w:t>
      </w:r>
    </w:p>
    <w:p>
      <w:pPr>
        <w:pStyle w:val="ListBullet"/>
      </w:pPr>
      <w:r>
        <w:rPr>
          <w:rFonts w:ascii="Calibri" w:hAnsi="Calibri" w:cs="Calibri" w:eastAsia="Calibri"/>
          <w:color w:val="1F2933"/>
          <w:sz w:val="21"/>
        </w:rPr>
        <w:t>Le comportement quand le système distant ne répond pas.</w:t>
      </w:r>
    </w:p>
    <w:p>
      <w:pPr>
        <w:pStyle w:val="ListBullet"/>
      </w:pPr>
      <w:r>
        <w:rPr>
          <w:rFonts w:ascii="Calibri" w:hAnsi="Calibri" w:cs="Calibri" w:eastAsia="Calibri"/>
          <w:color w:val="1F2933"/>
          <w:sz w:val="21"/>
        </w:rPr>
        <w:t>Le contact technique côté éditeur et son délai de réponse habituel.</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Flux 1 : le logiciel de production comptable dépose automatiquement les liasses dans la GED à leur génération, avec le code client et l’exercice. Le logiciel fait foi sur ces deux métadonnées.</w:t>
            </w:r>
          </w:p>
          <w:p>
            <w:pPr>
              <w:spacing w:after="60" w:line="264" w:lineRule="auto"/>
            </w:pPr>
            <w:r>
              <w:rPr>
                <w:rFonts w:ascii="Calibri" w:hAnsi="Calibri" w:cs="Calibri" w:eastAsia="Calibri"/>
                <w:color w:val="1F2933"/>
                <w:sz w:val="20"/>
              </w:rPr>
              <w:t>Flux 2 : dépôt d’une pièce jointe depuis la messagerie en deux clics, avec reprise de l’expéditeur et de la date.</w:t>
            </w:r>
          </w:p>
          <w:p>
            <w:pPr>
              <w:spacing w:after="60" w:line="264" w:lineRule="auto"/>
            </w:pPr>
            <w:r>
              <w:rPr>
                <w:rFonts w:ascii="Calibri" w:hAnsi="Calibri" w:cs="Calibri" w:eastAsia="Calibri"/>
                <w:color w:val="1F2933"/>
                <w:sz w:val="20"/>
              </w:rPr>
              <w:t>Flux 3 : les identités viennent de l’annuaire du cabinet, aucun compte créé dans la GED.</w:t>
            </w:r>
          </w:p>
          <w:p>
            <w:pPr>
              <w:spacing w:after="60" w:line="264" w:lineRule="auto"/>
            </w:pPr>
            <w:r>
              <w:rPr>
                <w:rFonts w:ascii="Calibri" w:hAnsi="Calibri" w:cs="Calibri" w:eastAsia="Calibri"/>
                <w:color w:val="1F2933"/>
                <w:sz w:val="20"/>
              </w:rPr>
              <w:t>Contact éditeur du logiciel comptable : facturation à la journée, délai habituel de trois semaines. Risque de calendrier identifié.</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11. Reprise de l’existant</w:t>
      </w:r>
    </w:p>
    <w:p>
      <w:pPr>
        <w:pStyle w:val="EtiquetteADW"/>
      </w:pPr>
      <w:r>
        <w:t>Ce qu’on attend ici</w:t>
      </w:r>
    </w:p>
    <w:p>
      <w:pPr>
        <w:spacing w:after="120"/>
      </w:pPr>
      <w:r>
        <w:rPr>
          <w:rFonts w:ascii="Calibri" w:hAnsi="Calibri" w:cs="Calibri" w:eastAsia="Calibri"/>
          <w:color w:val="1F2933"/>
          <w:sz w:val="21"/>
        </w:rPr>
        <w:t>C’est la décision qui fait varier le budget du simple au triple, et elle remonte à la direction. Trois options seulement : tout reprendre, reprendre une partie selon une règle écrite, ou ne rien reprendre et laisser l’ancien fonds en consultation seule pendant sa durée de conservation.</w:t>
      </w:r>
    </w:p>
    <w:p>
      <w:pPr>
        <w:spacing w:after="120"/>
      </w:pPr>
      <w:r>
        <w:rPr>
          <w:rFonts w:ascii="Calibri" w:hAnsi="Calibri" w:cs="Calibri" w:eastAsia="Calibri"/>
          <w:color w:val="1F2933"/>
          <w:sz w:val="21"/>
        </w:rPr>
        <w:t>Si vous reprenez, la vraie difficulté n’est pas de déplacer les fichiers : c’est de les qualifier. Un document repris sans métadonnées est un document perdu dans un autre endroit. Dites comment les métadonnées seront reconstituées : déduites du chemin du fichier, extraites du contenu, ou saisies. Et dites qui le fait, avec quel budget de temps.</w:t>
      </w:r>
    </w:p>
    <w:p>
      <w:pPr>
        <w:spacing w:after="120"/>
      </w:pPr>
      <w:r>
        <w:rPr>
          <w:rFonts w:ascii="Calibri" w:hAnsi="Calibri" w:cs="Calibri" w:eastAsia="Calibri"/>
          <w:color w:val="1F2933"/>
          <w:sz w:val="21"/>
        </w:rPr>
        <w:t>Prévoyez enfin une période de double usage et sa durée. Deux systèmes en parallèle sans date de fin annoncée, c’est la garantie que l’ancien survivra.</w:t>
      </w:r>
    </w:p>
    <w:p>
      <w:pPr>
        <w:pStyle w:val="EtiquetteADW"/>
      </w:pPr>
      <w:r>
        <w:t>Les points à couvrir</w:t>
      </w:r>
    </w:p>
    <w:p>
      <w:pPr>
        <w:pStyle w:val="ListBullet"/>
      </w:pPr>
      <w:r>
        <w:rPr>
          <w:rFonts w:ascii="Calibri" w:hAnsi="Calibri" w:cs="Calibri" w:eastAsia="Calibri"/>
          <w:color w:val="1F2933"/>
          <w:sz w:val="21"/>
        </w:rPr>
        <w:t>L’option retenue : tout, une partie selon une règle écrite, ou rien.</w:t>
      </w:r>
    </w:p>
    <w:p>
      <w:pPr>
        <w:pStyle w:val="ListBullet"/>
      </w:pPr>
      <w:r>
        <w:rPr>
          <w:rFonts w:ascii="Calibri" w:hAnsi="Calibri" w:cs="Calibri" w:eastAsia="Calibri"/>
          <w:color w:val="1F2933"/>
          <w:sz w:val="21"/>
        </w:rPr>
        <w:t>La règle de sélection, si reprise partielle, écrite noir sur blanc.</w:t>
      </w:r>
    </w:p>
    <w:p>
      <w:pPr>
        <w:pStyle w:val="ListBullet"/>
      </w:pPr>
      <w:r>
        <w:rPr>
          <w:rFonts w:ascii="Calibri" w:hAnsi="Calibri" w:cs="Calibri" w:eastAsia="Calibri"/>
          <w:color w:val="1F2933"/>
          <w:sz w:val="21"/>
        </w:rPr>
        <w:t>La méthode de reconstitution des métadonnées, et qui l’exécute.</w:t>
      </w:r>
    </w:p>
    <w:p>
      <w:pPr>
        <w:pStyle w:val="ListBullet"/>
      </w:pPr>
      <w:r>
        <w:rPr>
          <w:rFonts w:ascii="Calibri" w:hAnsi="Calibri" w:cs="Calibri" w:eastAsia="Calibri"/>
          <w:color w:val="1F2933"/>
          <w:sz w:val="21"/>
        </w:rPr>
        <w:t>Le budget de temps interne consacré à la reprise.</w:t>
      </w:r>
    </w:p>
    <w:p>
      <w:pPr>
        <w:pStyle w:val="ListBullet"/>
      </w:pPr>
      <w:r>
        <w:rPr>
          <w:rFonts w:ascii="Calibri" w:hAnsi="Calibri" w:cs="Calibri" w:eastAsia="Calibri"/>
          <w:color w:val="1F2933"/>
          <w:sz w:val="21"/>
        </w:rPr>
        <w:t>La durée de la période de double usage et sa date de fin.</w:t>
      </w:r>
    </w:p>
    <w:p>
      <w:pPr>
        <w:pStyle w:val="ListBullet"/>
      </w:pPr>
      <w:r>
        <w:rPr>
          <w:rFonts w:ascii="Calibri" w:hAnsi="Calibri" w:cs="Calibri" w:eastAsia="Calibri"/>
          <w:color w:val="1F2933"/>
          <w:sz w:val="21"/>
        </w:rPr>
        <w:t>Le sort de l’ancien système à l’issue.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Option retenue : reprise des cinq derniers exercices, le reste reste sur le serveur de fichiers en consultation seule jusqu’à échéance de conservation.</w:t>
            </w:r>
          </w:p>
          <w:p>
            <w:pPr>
              <w:spacing w:after="60" w:line="264" w:lineRule="auto"/>
            </w:pPr>
            <w:r>
              <w:rPr>
                <w:rFonts w:ascii="Calibri" w:hAnsi="Calibri" w:cs="Calibri" w:eastAsia="Calibri"/>
                <w:color w:val="1F2933"/>
                <w:sz w:val="20"/>
              </w:rPr>
              <w:t>Métadonnées reconstituées depuis le chemin du fichier, qui contient déjà le code client et l’exercice. Contrôle manuel sur un échantillon de 2 %.</w:t>
            </w:r>
          </w:p>
          <w:p>
            <w:pPr>
              <w:spacing w:after="60" w:line="264" w:lineRule="auto"/>
            </w:pPr>
            <w:r>
              <w:rPr>
                <w:rFonts w:ascii="Calibri" w:hAnsi="Calibri" w:cs="Calibri" w:eastAsia="Calibri"/>
                <w:color w:val="1F2933"/>
                <w:sz w:val="20"/>
              </w:rPr>
              <w:t>Budget interne : quinze jours de la responsable administrative, avant son départ.</w:t>
            </w:r>
          </w:p>
          <w:p>
            <w:pPr>
              <w:spacing w:after="60" w:line="264" w:lineRule="auto"/>
            </w:pPr>
            <w:r>
              <w:rPr>
                <w:rFonts w:ascii="Calibri" w:hAnsi="Calibri" w:cs="Calibri" w:eastAsia="Calibri"/>
                <w:color w:val="1F2933"/>
                <w:sz w:val="20"/>
              </w:rPr>
              <w:t>Double usage : trois mois, date de fin annoncée dès le lancement, serveur de fichiers passé en lecture seule à cette date.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12. Budget, calendrier et consultation</w:t>
      </w:r>
    </w:p>
    <w:p>
      <w:pPr>
        <w:pStyle w:val="EtiquetteADW"/>
      </w:pPr>
      <w:r>
        <w:t>Ce qu’on attend ici</w:t>
      </w:r>
    </w:p>
    <w:p>
      <w:pPr>
        <w:spacing w:after="120"/>
      </w:pPr>
      <w:r>
        <w:rPr>
          <w:rFonts w:ascii="Calibri" w:hAnsi="Calibri" w:cs="Calibri" w:eastAsia="Calibri"/>
          <w:color w:val="1F2933"/>
          <w:sz w:val="21"/>
        </w:rPr>
        <w:t>Annoncez une fourchette. Sur un projet de GED, elle doit couvrir quatre postes que les devis présentent rarement ensemble : les licences ou l’abonnement, l’intégration et le paramétrage, la reprise de l’existant, et la conduite du changement. Un devis qui ne chiffre que le premier poste n’est pas moins cher, il est incomplet.</w:t>
      </w:r>
    </w:p>
    <w:p>
      <w:pPr>
        <w:spacing w:after="120"/>
      </w:pPr>
      <w:r>
        <w:rPr>
          <w:rFonts w:ascii="Calibri" w:hAnsi="Calibri" w:cs="Calibri" w:eastAsia="Calibri"/>
          <w:color w:val="1F2933"/>
          <w:sz w:val="21"/>
        </w:rPr>
        <w:t>Sur le calendrier, prévoyez ce qui est propre à ce type de projet : le temps de rédaction du plan de classement, qui est interne et long, et la période de double usage. Évitez les bascules en période de clôture ou de forte activité. Indiquez vos dates contraintes réelles et vos périodes d’indisponibilité.</w:t>
      </w:r>
    </w:p>
    <w:p>
      <w:pPr>
        <w:spacing w:after="120"/>
      </w:pPr>
      <w:r>
        <w:rPr>
          <w:rFonts w:ascii="Calibri" w:hAnsi="Calibri" w:cs="Calibri" w:eastAsia="Calibri"/>
          <w:color w:val="1F2933"/>
          <w:sz w:val="21"/>
        </w:rPr>
        <w:t>Envoyez enfin le dossier à trois ou quatre structures le même jour, avec la même date limite, et la trame de budget vide. Écrivez vos critères de choix et leur pondération avant de recevoir les offres.</w:t>
      </w:r>
    </w:p>
    <w:p>
      <w:pPr>
        <w:pStyle w:val="EtiquetteADW"/>
      </w:pPr>
      <w:r>
        <w:t>Les points à couvrir</w:t>
      </w:r>
    </w:p>
    <w:p>
      <w:pPr>
        <w:pStyle w:val="ListBullet"/>
      </w:pPr>
      <w:r>
        <w:rPr>
          <w:rFonts w:ascii="Calibri" w:hAnsi="Calibri" w:cs="Calibri" w:eastAsia="Calibri"/>
          <w:color w:val="1F2933"/>
          <w:sz w:val="21"/>
        </w:rPr>
        <w:t>La fourchette budgétaire et les quatre postes qu’elle couvre.</w:t>
      </w:r>
    </w:p>
    <w:p>
      <w:pPr>
        <w:pStyle w:val="ListBullet"/>
      </w:pPr>
      <w:r>
        <w:rPr>
          <w:rFonts w:ascii="Calibri" w:hAnsi="Calibri" w:cs="Calibri" w:eastAsia="Calibri"/>
          <w:color w:val="1F2933"/>
          <w:sz w:val="21"/>
        </w:rPr>
        <w:t>Le mode de licence envisagé et son évolution avec le nombre d’utilisateurs.</w:t>
      </w:r>
    </w:p>
    <w:p>
      <w:pPr>
        <w:pStyle w:val="ListBullet"/>
      </w:pPr>
      <w:r>
        <w:rPr>
          <w:rFonts w:ascii="Calibri" w:hAnsi="Calibri" w:cs="Calibri" w:eastAsia="Calibri"/>
          <w:color w:val="1F2933"/>
          <w:sz w:val="21"/>
        </w:rPr>
        <w:t>Les jalons, avec un livrable vérifiable et un responsable chacun.</w:t>
      </w:r>
    </w:p>
    <w:p>
      <w:pPr>
        <w:pStyle w:val="ListBullet"/>
      </w:pPr>
      <w:r>
        <w:rPr>
          <w:rFonts w:ascii="Calibri" w:hAnsi="Calibri" w:cs="Calibri" w:eastAsia="Calibri"/>
          <w:color w:val="1F2933"/>
          <w:sz w:val="21"/>
        </w:rPr>
        <w:t>Le temps interne consacré au plan de classement.</w:t>
      </w:r>
    </w:p>
    <w:p>
      <w:pPr>
        <w:pStyle w:val="ListBullet"/>
      </w:pPr>
      <w:r>
        <w:rPr>
          <w:rFonts w:ascii="Calibri" w:hAnsi="Calibri" w:cs="Calibri" w:eastAsia="Calibri"/>
          <w:color w:val="1F2933"/>
          <w:sz w:val="21"/>
        </w:rPr>
        <w:t>Les périodes à éviter pour la bascule.</w:t>
      </w:r>
    </w:p>
    <w:p>
      <w:pPr>
        <w:pStyle w:val="ListBullet"/>
      </w:pPr>
      <w:r>
        <w:rPr>
          <w:rFonts w:ascii="Calibri" w:hAnsi="Calibri" w:cs="Calibri" w:eastAsia="Calibri"/>
          <w:color w:val="1F2933"/>
          <w:sz w:val="21"/>
        </w:rPr>
        <w:t>Les critères de choix et leur pondération, écrits avant réception des offres.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cas fictif « Cabinet Aubrac &amp; Associés »</w:t>
            </w:r>
          </w:p>
          <w:p>
            <w:pPr>
              <w:spacing w:after="60" w:line="264" w:lineRule="auto"/>
            </w:pPr>
            <w:r>
              <w:rPr>
                <w:rFonts w:ascii="Calibri" w:hAnsi="Calibri" w:cs="Calibri" w:eastAsia="Calibri"/>
                <w:color w:val="1F2933"/>
                <w:sz w:val="20"/>
              </w:rPr>
              <w:t>Enveloppe : 45 000 à 70 000 € HT la première année, licences, intégration, paramétrage et formation comprises. Reprise du stock papier chiffrée à part.</w:t>
            </w:r>
          </w:p>
          <w:p>
            <w:pPr>
              <w:spacing w:after="60" w:line="264" w:lineRule="auto"/>
            </w:pPr>
            <w:r>
              <w:rPr>
                <w:rFonts w:ascii="Calibri" w:hAnsi="Calibri" w:cs="Calibri" w:eastAsia="Calibri"/>
                <w:color w:val="1F2933"/>
                <w:sz w:val="20"/>
              </w:rPr>
              <w:t>Jalons : plan de classement validé, paramétrage livré, intégrations validées, campagne de tests, formation, mise en service, fin du double usage.</w:t>
            </w:r>
          </w:p>
          <w:p>
            <w:pPr>
              <w:spacing w:after="60" w:line="264" w:lineRule="auto"/>
            </w:pPr>
            <w:r>
              <w:rPr>
                <w:rFonts w:ascii="Calibri" w:hAnsi="Calibri" w:cs="Calibri" w:eastAsia="Calibri"/>
                <w:color w:val="1F2933"/>
                <w:sz w:val="20"/>
              </w:rPr>
              <w:t>Périodes à éviter : janvier et mai, clôtures et échéances fiscales.</w:t>
            </w:r>
          </w:p>
          <w:p>
            <w:pPr>
              <w:spacing w:after="60" w:line="264" w:lineRule="auto"/>
            </w:pPr>
            <w:r>
              <w:rPr>
                <w:rFonts w:ascii="Calibri" w:hAnsi="Calibri" w:cs="Calibri" w:eastAsia="Calibri"/>
                <w:color w:val="1F2933"/>
                <w:sz w:val="20"/>
              </w:rPr>
              <w:t>Critères pondérés : compréhension du métier 30, adéquation fonctionnelle 25, références comparables 15, conduite du changement 10, prix 20.</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Check-list avant envoi aux éditeurs et intégrateurs</w:t>
      </w:r>
    </w:p>
    <w:p>
      <w:pPr>
        <w:spacing w:after="120"/>
      </w:pPr>
      <w:r>
        <w:rPr>
          <w:rFonts w:ascii="Calibri" w:hAnsi="Calibri" w:cs="Calibri" w:eastAsia="Calibri"/>
          <w:color w:val="1F2933"/>
          <w:sz w:val="21"/>
        </w:rPr>
        <w:t>Relisez ce document avec cette liste. Sur un projet de GED, chaque case laissée vide devient un poste non chiffré, puis un avenant.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volumétrie est comptée, pas estimée : nombre de fichiers, poids total, rythme mensuel.</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types de documents sont listés, entre huit et vingt.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plan de classement tient en trois niveaux au maximum.</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type de document porte ses métadonnées, avec obligatoire ou facultatif.</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source de chaque métadonnée est écrite : saisie, héritée, reprise d’un outil.</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chemins d’entrée des documents sont listés, avec leur volume.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recherches types sont formulées en phrases, pas en critères techniques.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circuit de validation prévoit le cas de l’absence du valideur.</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Conservation et archivage à valeur probante sont distingués.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durée de conservation porte son point de départ et sa référence.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comportement à l’échéance est écrit : purge, validation ou versement.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droits sont décrits par rôles, jamais par noms de personnes.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flux d’intégration porte un sens, une fréquence et un système qui fait foi.</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décision sur la reprise de l’existant est prise et écrite.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période de double usage a une date de fin annoncée.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L’enveloppe budgétaire couvre licences, intégration, reprise et conduite du changement.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trame de budget est jointe, vide, à toutes les structures consultées.</w:t>
      </w:r>
    </w:p>
    <w:p>
      <w:pPr>
        <w:spacing w:after="120"/>
      </w:pPr>
      <w:r>
        <w:rPr>
          <w:rFonts w:ascii="Calibri" w:hAnsi="Calibri" w:cs="Calibri" w:eastAsia="Calibri"/>
          <w:color w:val="1F2933"/>
          <w:sz w:val="21"/>
        </w:rPr>
      </w:r>
    </w:p>
    <w:p>
      <w:pPr>
        <w:pBdr>
          <w:bottom w:val="single" w:sz="4" w:space="4" w:color="DDE1E6"/>
        </w:pBdr>
      </w:pPr>
    </w:p>
    <w:p>
      <w:pPr>
        <w:spacing w:before="160"/>
      </w:pPr>
      <w:r>
        <w:rPr>
          <w:rFonts w:ascii="Calibri" w:hAnsi="Calibri" w:cs="Calibri" w:eastAsia="Calibri"/>
          <w:b/>
          <w:color w:val="154CE4"/>
          <w:sz w:val="19"/>
        </w:rPr>
        <w:t>agencedeveloppementweb.net</w:t>
      </w:r>
      <w:r>
        <w:rPr>
          <w:rFonts w:ascii="Calibri" w:hAnsi="Calibri" w:cs="Calibri" w:eastAsia="Calibri"/>
          <w:color w:val="5A6472"/>
          <w:sz w:val="19"/>
        </w:rPr>
        <w:t xml:space="preserve">  ·  Modèle de cahier des charges de gestion électronique de documents, version 1.0. À joindre à la trame de budget du même guide lors de la consultation.</w:t>
      </w:r>
    </w:p>
    <w:sectPr w:rsidR="00FC693F" w:rsidRPr="0006063C" w:rsidSect="00034616">
      <w:headerReference w:type="default" r:id="rId9"/>
      <w:footerReference w:type="default" r:id="rId10"/>
      <w:footerReference w:type="first" r:id="rId11"/>
      <w:pgSz w:w="11906" w:h="16838"/>
      <w:pgMar w:top="1247" w:right="1134" w:bottom="1134" w:left="1134"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before="80"/>
      <w:pBdr>
        <w:bottom w:val="single" w:sz="2" w:space="1" w:color="FFFFFF"/>
      </w:pBdr>
    </w:pPr>
    <w:r>
      <w:rPr>
        <w:rFonts w:ascii="Calibri" w:hAnsi="Calibri" w:cs="Calibri" w:eastAsia="Calibri"/>
        <w:color w:val="5A6472"/>
        <w:sz w:val="17"/>
      </w:rPr>
      <w:t>Modèle fourni par agencedeveloppementweb.net</w:t>
    </w:r>
    <w:r>
      <w:rPr>
        <w:rFonts w:ascii="Calibri" w:hAnsi="Calibri" w:cs="Calibri" w:eastAsia="Calibri"/>
        <w:sz w:val="17"/>
      </w:rPr>
      <w:tab/>
    </w:r>
    <w:r>
      <w:rPr>
        <w:rFonts w:ascii="Calibri" w:hAnsi="Calibri" w:cs="Calibri" w:eastAsia="Calibri"/>
        <w:color w:val="5A6472"/>
        <w:sz w:val="17"/>
      </w:rPr>
      <w:t xml:space="preserve">Page </w:t>
    </w:r>
    <w:r>
      <w:fldChar w:fldCharType="begin"/>
    </w:r>
    <w:r>
      <w:instrText xml:space="preserve"> PAGE </w:instrText>
    </w:r>
    <w:r>
      <w:fldChar w:fldCharType="separate"/>
    </w:r>
    <w:r>
      <w:rPr>
        <w:rFonts w:ascii="Calibri" w:hAnsi="Calibri" w:cs="Calibri" w:eastAsia="Calibri"/>
        <w:b/>
        <w:color w:val="1F2933"/>
        <w:sz w:val="17"/>
      </w:rPr>
      <w:t>1</w:t>
    </w:r>
    <w:r>
      <w:fldChar w:fldCharType="end"/>
    </w:r>
    <w:r>
      <w:rPr>
        <w:rFonts w:ascii="Calibri" w:hAnsi="Calibri" w:cs="Calibri" w:eastAsia="Calibri"/>
        <w:color w:val="5A6472"/>
        <w:sz w:val="17"/>
      </w:rPr>
      <w:t xml:space="preserve"> sur </w:t>
    </w:r>
    <w:r>
      <w:fldChar w:fldCharType="begin"/>
    </w:r>
    <w:r>
      <w:instrText xml:space="preserve"> NUMPAGES </w:instrText>
    </w:r>
    <w:r>
      <w:fldChar w:fldCharType="separate"/>
    </w:r>
    <w:r>
      <w:rPr>
        <w:rFonts w:ascii="Calibri" w:hAnsi="Calibri" w:cs="Calibri" w:eastAsia="Calibri"/>
        <w:color w:val="5A6472"/>
        <w:sz w:val="17"/>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Calibri" w:hAnsi="Calibri" w:cs="Calibri" w:eastAsia="Calibri"/>
        <w:color w:val="7A828E"/>
        <w:sz w:val="17"/>
      </w:rPr>
      <w:t>agencedeveloppementweb.net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80"/>
      <w:pBdr>
        <w:bottom w:val="single" w:sz="4" w:space="4" w:color="DDE1E6"/>
      </w:pBdr>
    </w:pPr>
    <w:r>
      <w:rPr>
        <w:rFonts w:ascii="Calibri" w:hAnsi="Calibri" w:cs="Calibri" w:eastAsia="Calibri"/>
        <w:caps/>
        <w:color w:val="5A6472"/>
        <w:sz w:val="17"/>
        <w:spacing w:val="20"/>
      </w:rPr>
      <w:t>Cahier des charges  ·  GED</w:t>
    </w:r>
    <w:r>
      <w:rPr>
        <w:rFonts w:ascii="Calibri" w:hAnsi="Calibri" w:cs="Calibri" w:eastAsia="Calibri"/>
        <w:sz w:val="17"/>
      </w:rPr>
      <w:tab/>
    </w:r>
    <w:r>
      <w:rPr>
        <w:rFonts w:ascii="Calibri" w:hAnsi="Calibri" w:cs="Calibri" w:eastAsia="Calibri"/>
        <w:i/>
        <w:color w:val="7A828E"/>
        <w:sz w:val="17"/>
      </w:rPr>
      <w:t>[Nom du projet]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cs="Calibri" w:eastAsia="Calibri"/>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54CE4"/>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1F29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rPr>
      <w:rFonts w:ascii="Calibri" w:hAnsi="Calibri"/>
      <w:color w:val="1F29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iquetteADW">
    <w:name w:val="Etiquette ADW"/>
    <w:basedOn w:val="Normal"/>
    <w:pPr>
      <w:keepNext/>
      <w:spacing w:before="240" w:after="60"/>
    </w:pPr>
    <w:rPr>
      <w:rFonts w:ascii="Calibri" w:hAnsi="Calibri"/>
      <w:b/>
      <w:caps/>
      <w:color w:val="5A6472"/>
      <w:sz w:val="16"/>
      <w:spacing w:val="30"/>
    </w:rPr>
  </w:style>
  <w:style w:type="paragraph" w:customStyle="1" w:styleId="NoteADW">
    <w:name w:val="Note ADW"/>
    <w:basedOn w:val="Normal"/>
    <w:pPr>
      <w:spacing w:before="80"/>
    </w:pPr>
    <w:rPr>
      <w:color w:val="5A64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cahier des charges GED</dc:title>
  <dc:subject>Modèle à compléter pour consulter des éditeurs et intégrateurs de GED</dc:subject>
  <dc:creator>agencedeveloppementweb.net</dc:creator>
  <cp:keywords/>
  <dc:description>Modèle libre d’usage fourni par agencedeveloppementweb.net.</dc:description>
  <cp:lastModifiedBy/>
  <cp:revision>1</cp:revision>
  <dcterms:created xsi:type="dcterms:W3CDTF">2013-12-23T23:15:00Z</dcterms:created>
  <dcterms:modified xsi:type="dcterms:W3CDTF">2013-12-23T23:15:00Z</dcterms:modified>
  <cp:category>Modèle</cp:category>
</cp:coreProperties>
</file>