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r>
        <w:rPr>
          <w:rFonts w:ascii="Calibri" w:hAnsi="Calibri" w:cs="Calibri" w:eastAsia="Calibri"/>
          <w:b/>
          <w:color w:val="1F2933"/>
          <w:sz w:val="60"/>
        </w:rPr>
        <w:t>Devis de site internet</w:t>
      </w:r>
    </w:p>
    <w:p>
      <w:pPr>
        <w:spacing w:after="280"/>
      </w:pPr>
      <w:r>
        <w:rPr>
          <w:rFonts w:ascii="Calibri" w:hAnsi="Calibri" w:cs="Calibri" w:eastAsia="Calibri"/>
          <w:b/>
          <w:color w:val="154CE4"/>
          <w:sz w:val="60"/>
        </w:rPr>
        <w:t>commenté ligne à ligne</w:t>
      </w:r>
    </w:p>
    <w:p>
      <w:pPr>
        <w:spacing w:after="320"/>
        <w:pBdr>
          <w:bottom w:val="single" w:sz="12" w:space="2" w:color="154CE4"/>
        </w:pBdr>
      </w:pPr>
    </w:p>
    <w:p>
      <w:pPr>
        <w:spacing w:after="80"/>
      </w:pPr>
      <w:r>
        <w:rPr>
          <w:rFonts w:ascii="Calibri" w:hAnsi="Calibri" w:cs="Calibri" w:eastAsia="Calibri"/>
          <w:b/>
          <w:caps/>
          <w:color w:val="5A6472"/>
          <w:sz w:val="26"/>
          <w:spacing w:val="60"/>
        </w:rPr>
        <w:t>Modèle à compléter</w:t>
      </w:r>
    </w:p>
    <w:p>
      <w:pPr>
        <w:spacing w:after="720"/>
      </w:pPr>
      <w:r>
        <w:rPr>
          <w:rFonts w:ascii="Calibri" w:hAnsi="Calibri" w:cs="Calibri" w:eastAsia="Calibri"/>
          <w:color w:val="5A6472"/>
          <w:sz w:val="22"/>
        </w:rPr>
        <w:t>Un devis fictif complet, et à côté de chaque ligne ce qu’elle veut dire, ce qu’elle cache, et la question à poser avant de signer.</w:t>
      </w:r>
    </w:p>
    <w:tbl>
      <w:tblPr>
        <w:jc w:val="left"/>
        <w:tblLayout w:type="fixed"/>
        <w:tblLook w:firstColumn="1" w:firstRow="1" w:lastColumn="0" w:lastRow="0" w:noHBand="0" w:noVBand="1" w:val="04A0"/>
        <w:tblLayout w:type="fixed"/>
        <w:tblW w:type="dxa" w:w="9639"/>
      </w:tblPr>
      <w:tblGrid>
        <w:gridCol w:w="3969"/>
        <w:gridCol w:w="5670"/>
      </w:tblGrid>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Projet consulté</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Prestataire</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Date du devis</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Validité annoncée</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Analysé par</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[nom, fonction]</w:t>
            </w:r>
          </w:p>
        </w:tc>
      </w:tr>
    </w:tbl>
    <w:p>
      <w:pPr>
        <w:spacing w:after="0"/>
      </w:pPr>
    </w:p>
    <w:p>
      <w:pPr>
        <w:spacing w:after="0"/>
      </w:pPr>
    </w:p>
    <w:p>
      <w:pPr>
        <w:spacing w:after="0"/>
      </w:pPr>
    </w:p>
    <w:p>
      <w:pPr>
        <w:spacing w:after="0"/>
      </w:pPr>
    </w:p>
    <w:p>
      <w:pPr>
        <w:spacing w:after="0"/>
      </w:pPr>
    </w:p>
    <w:p>
      <w:pPr>
        <w:spacing w:after="0"/>
        <w:pBdr>
          <w:bottom w:val="single" w:sz="4" w:space="4" w:color="DDE1E6"/>
        </w:pBdr>
      </w:pPr>
    </w:p>
    <w:p>
      <w:pPr>
        <w:spacing w:before="120"/>
      </w:pPr>
      <w:r>
        <w:rPr>
          <w:rFonts w:ascii="Calibri" w:hAnsi="Calibri" w:cs="Calibri" w:eastAsia="Calibri"/>
          <w:b/>
          <w:color w:val="5A6472"/>
          <w:sz w:val="19"/>
        </w:rPr>
        <w:t>Document fourni par agencedeveloppementweb.net</w:t>
      </w:r>
    </w:p>
    <w:p>
      <w:r>
        <w:rPr>
          <w:rFonts w:ascii="Calibri" w:hAnsi="Calibri" w:cs="Calibri" w:eastAsia="Calibri"/>
          <w:color w:val="7A828E"/>
          <w:sz w:val="18"/>
        </w:rPr>
        <w:t>Modèle libre d’usage pour préparer votre projet et consulter des prestataires. Aucune donnée n’est transmise à un tiers.</w:t>
      </w:r>
    </w:p>
    <w:p>
      <w:r>
        <w:br w:type="page"/>
      </w:r>
    </w:p>
    <w:p>
      <w:pPr>
        <w:spacing w:after="80"/>
        <w:pBdr>
          <w:bottom w:val="single" w:sz="6" w:space="4" w:color="DCE4F9"/>
        </w:pBdr>
      </w:pPr>
      <w:r>
        <w:rPr>
          <w:rFonts w:ascii="Calibri" w:hAnsi="Calibri" w:cs="Calibri" w:eastAsia="Calibri"/>
          <w:b/>
          <w:color w:val="154CE4"/>
          <w:sz w:val="30"/>
        </w:rPr>
        <w:t>Sommaire</w:t>
      </w:r>
    </w:p>
    <w:p>
      <w:pPr>
        <w:pStyle w:val="NoteADW"/>
      </w:pPr>
      <w:r>
        <w:rPr>
          <w:rFonts w:ascii="Calibri" w:hAnsi="Calibri" w:cs="Calibri" w:eastAsia="Calibri"/>
          <w:i/>
          <w:color w:val="7A828E"/>
          <w:sz w:val="18"/>
        </w:rPr>
        <w:t>Le sommaire se met à jour tout seul. Si les titres n’apparaissent pas, cliquez dedans avec le bouton droit puis choisissez « Mettre à jour les champs ».</w:t>
      </w:r>
    </w:p>
    <w:p>
      <w:r>
        <w:fldChar w:fldCharType="begin"/>
      </w:r>
      <w:r>
        <w:instrText xml:space="preserve"> TOC \o "1-2" \h \z \u </w:instrText>
      </w:r>
      <w:r>
        <w:fldChar w:fldCharType="separate"/>
      </w:r>
      <w:r>
        <w:t>Sommaire à mettre à jour : clic droit sur cette ligne, puis « Mettre à jour les champs ».</w:t>
      </w:r>
      <w:r>
        <w:fldChar w:fldCharType="end"/>
      </w:r>
    </w:p>
    <w:p>
      <w:r>
        <w:br w:type="page"/>
      </w:r>
    </w:p>
    <w:p>
      <w:pPr>
        <w:pStyle w:val="Heading1"/>
      </w:pPr>
      <w:r>
        <w:t>Comment utiliser ce modèle</w:t>
      </w:r>
    </w:p>
    <w:p>
      <w:pPr>
        <w:spacing w:after="120"/>
      </w:pPr>
      <w:r>
        <w:rPr>
          <w:rFonts w:ascii="Calibri" w:hAnsi="Calibri" w:cs="Calibri" w:eastAsia="Calibri"/>
          <w:color w:val="1F2933"/>
          <w:sz w:val="21"/>
        </w:rPr>
        <w:t>Deux devis au même total peuvent recouvrir des prestations sans rapport. Ce document prend un devis fictif complet et commente chacune de ses lignes : ce qu’elle recouvre, ce qui peut s’y cacher, et la question à poser par écrit avant de signer. Il se lit une fois, puis il sert de grille de relecture sur vos propres devis.</w:t>
      </w:r>
    </w:p>
    <w:p>
      <w:pPr>
        <w:spacing w:after="100"/>
        <w:ind w:left="397" w:hanging="397"/>
      </w:pPr>
      <w:r>
        <w:rPr>
          <w:rFonts w:ascii="Calibri" w:hAnsi="Calibri" w:cs="Calibri" w:eastAsia="Calibri"/>
          <w:b/>
          <w:color w:val="154CE4"/>
          <w:sz w:val="21"/>
        </w:rPr>
        <w:t xml:space="preserve">1.  </w:t>
      </w:r>
      <w:r>
        <w:rPr>
          <w:rFonts w:ascii="Calibri" w:hAnsi="Calibri" w:cs="Calibri" w:eastAsia="Calibri"/>
          <w:b/>
          <w:color w:val="1F2933"/>
          <w:sz w:val="21"/>
        </w:rPr>
        <w:t xml:space="preserve">Lisez d’abord le périmètre, pas le total. </w:t>
      </w:r>
      <w:r>
        <w:rPr>
          <w:rFonts w:ascii="Calibri" w:hAnsi="Calibri" w:cs="Calibri" w:eastAsia="Calibri"/>
          <w:color w:val="1F2933"/>
          <w:sz w:val="21"/>
        </w:rPr>
        <w:t>Un devis moins cher qui omet la validation et les contenus est un devis plus cher qui ne le dit pas. Le total est la dernière chose à regarder, pas la première.</w:t>
      </w:r>
    </w:p>
    <w:p>
      <w:pPr>
        <w:spacing w:after="100"/>
        <w:ind w:left="397" w:hanging="397"/>
      </w:pPr>
      <w:r>
        <w:rPr>
          <w:rFonts w:ascii="Calibri" w:hAnsi="Calibri" w:cs="Calibri" w:eastAsia="Calibri"/>
          <w:b/>
          <w:color w:val="154CE4"/>
          <w:sz w:val="21"/>
        </w:rPr>
        <w:t xml:space="preserve">2.  </w:t>
      </w:r>
      <w:r>
        <w:rPr>
          <w:rFonts w:ascii="Calibri" w:hAnsi="Calibri" w:cs="Calibri" w:eastAsia="Calibri"/>
          <w:b/>
          <w:color w:val="1F2933"/>
          <w:sz w:val="21"/>
        </w:rPr>
        <w:t xml:space="preserve">Cherchez les lignes absentes. </w:t>
      </w:r>
      <w:r>
        <w:rPr>
          <w:rFonts w:ascii="Calibri" w:hAnsi="Calibri" w:cs="Calibri" w:eastAsia="Calibri"/>
          <w:color w:val="1F2933"/>
          <w:sz w:val="21"/>
        </w:rPr>
        <w:t>Les postes qui manquent le plus souvent : reprise des contenus, plan de redirections, environnements, formation, documentation. Leur absence n’est pas une économie, c’est un report de facture.</w:t>
      </w:r>
    </w:p>
    <w:p>
      <w:pPr>
        <w:spacing w:after="100"/>
        <w:ind w:left="397" w:hanging="397"/>
      </w:pPr>
      <w:r>
        <w:rPr>
          <w:rFonts w:ascii="Calibri" w:hAnsi="Calibri" w:cs="Calibri" w:eastAsia="Calibri"/>
          <w:b/>
          <w:color w:val="154CE4"/>
          <w:sz w:val="21"/>
        </w:rPr>
        <w:t xml:space="preserve">3.  </w:t>
      </w:r>
      <w:r>
        <w:rPr>
          <w:rFonts w:ascii="Calibri" w:hAnsi="Calibri" w:cs="Calibri" w:eastAsia="Calibri"/>
          <w:b/>
          <w:color w:val="1F2933"/>
          <w:sz w:val="21"/>
        </w:rPr>
        <w:t xml:space="preserve">Vérifiez que jours × profils retombe sur le total. </w:t>
      </w:r>
      <w:r>
        <w:rPr>
          <w:rFonts w:ascii="Calibri" w:hAnsi="Calibri" w:cs="Calibri" w:eastAsia="Calibri"/>
          <w:color w:val="1F2933"/>
          <w:sz w:val="21"/>
        </w:rPr>
        <w:t>Si le devis affiche un tarif journalier et un nombre de jours, le produit doit donner le montant. Tout écart doit être expliqué par écrit.</w:t>
      </w:r>
    </w:p>
    <w:p>
      <w:pPr>
        <w:spacing w:after="100"/>
        <w:ind w:left="397" w:hanging="397"/>
      </w:pPr>
      <w:r>
        <w:rPr>
          <w:rFonts w:ascii="Calibri" w:hAnsi="Calibri" w:cs="Calibri" w:eastAsia="Calibri"/>
          <w:b/>
          <w:color w:val="154CE4"/>
          <w:sz w:val="21"/>
        </w:rPr>
        <w:t xml:space="preserve">4.  </w:t>
      </w:r>
      <w:r>
        <w:rPr>
          <w:rFonts w:ascii="Calibri" w:hAnsi="Calibri" w:cs="Calibri" w:eastAsia="Calibri"/>
          <w:b/>
          <w:color w:val="1F2933"/>
          <w:sz w:val="21"/>
        </w:rPr>
        <w:t xml:space="preserve">Posez les questions marquées d’un point d’interrogation. </w:t>
      </w:r>
      <w:r>
        <w:rPr>
          <w:rFonts w:ascii="Calibri" w:hAnsi="Calibri" w:cs="Calibri" w:eastAsia="Calibri"/>
          <w:color w:val="1F2933"/>
          <w:sz w:val="21"/>
        </w:rPr>
        <w:t>Chaque commentaire se termine par la question à envoyer. La qualité de la réponse renseigne autant que le chiffre.</w:t>
      </w:r>
    </w:p>
    <w:p>
      <w:pPr>
        <w:spacing w:after="100"/>
        <w:ind w:left="397" w:hanging="397"/>
      </w:pPr>
      <w:r>
        <w:rPr>
          <w:rFonts w:ascii="Calibri" w:hAnsi="Calibri" w:cs="Calibri" w:eastAsia="Calibri"/>
          <w:b/>
          <w:color w:val="154CE4"/>
          <w:sz w:val="21"/>
        </w:rPr>
        <w:t xml:space="preserve">5.  </w:t>
      </w:r>
      <w:r>
        <w:rPr>
          <w:rFonts w:ascii="Calibri" w:hAnsi="Calibri" w:cs="Calibri" w:eastAsia="Calibri"/>
          <w:b/>
          <w:color w:val="1F2933"/>
          <w:sz w:val="21"/>
        </w:rPr>
        <w:t xml:space="preserve">Reportez les montants dans la grille Excel. </w:t>
      </w:r>
      <w:r>
        <w:rPr>
          <w:rFonts w:ascii="Calibri" w:hAnsi="Calibri" w:cs="Calibri" w:eastAsia="Calibri"/>
          <w:color w:val="1F2933"/>
          <w:sz w:val="21"/>
        </w:rPr>
        <w:t>Le second fichier compare jusqu’à trois devis poste par poste et calcule les écarts. C’est là que les prestations absentes deviennent visibles.</w:t>
      </w:r>
    </w:p>
    <w:p>
      <w:pPr>
        <w:spacing w:after="100"/>
        <w:ind w:left="397" w:hanging="397"/>
      </w:pPr>
      <w:r>
        <w:rPr>
          <w:rFonts w:ascii="Calibri" w:hAnsi="Calibri" w:cs="Calibri" w:eastAsia="Calibri"/>
          <w:b/>
          <w:color w:val="154CE4"/>
          <w:sz w:val="21"/>
        </w:rPr>
        <w:t xml:space="preserve">6.  </w:t>
      </w:r>
      <w:r>
        <w:rPr>
          <w:rFonts w:ascii="Calibri" w:hAnsi="Calibri" w:cs="Calibri" w:eastAsia="Calibri"/>
          <w:b/>
          <w:color w:val="1F2933"/>
          <w:sz w:val="21"/>
        </w:rPr>
        <w:t xml:space="preserve">Gardez les devis non retenus. </w:t>
      </w:r>
      <w:r>
        <w:rPr>
          <w:rFonts w:ascii="Calibri" w:hAnsi="Calibri" w:cs="Calibri" w:eastAsia="Calibri"/>
          <w:color w:val="1F2933"/>
          <w:sz w:val="21"/>
        </w:rPr>
        <w:t>Ils constituent votre base de comparaison pour la consultation suivante, et ils justifient votre choix si on vous le demande.</w:t>
      </w:r>
    </w:p>
    <w:p>
      <w:pPr>
        <w:spacing w:after="120"/>
      </w:pPr>
      <w:r>
        <w:rPr>
          <w:rFonts w:ascii="Calibri" w:hAnsi="Calibri" w:cs="Calibri" w:eastAsia="Calibri"/>
          <w:color w:val="1F2933"/>
          <w:sz w:val="21"/>
        </w:rPr>
      </w:r>
    </w:p>
    <w:p>
      <w:pPr>
        <w:pStyle w:val="NoteADW"/>
      </w:pPr>
      <w:r>
        <w:rPr>
          <w:rFonts w:ascii="Calibri" w:hAnsi="Calibri" w:cs="Calibri" w:eastAsia="Calibri"/>
          <w:i/>
          <w:color w:val="7A828E"/>
          <w:sz w:val="18"/>
        </w:rPr>
        <w:t>Le devis « Atelier Sorel » de ce document est entièrement fictif, prestataire comme client, et ses montants ne constituent ni un barème ni une offre. Les fourchettes de référence sont celles que le guide publie sur sa page des prix.</w:t>
      </w:r>
    </w:p>
    <w:p>
      <w:r>
        <w:br w:type="page"/>
      </w:r>
    </w:p>
    <w:p>
      <w:pPr>
        <w:pStyle w:val="Heading1"/>
      </w:pPr>
      <w:r>
        <w:t>1. L’en-tête : ce qui doit y figurer avant même les prix</w:t>
      </w:r>
    </w:p>
    <w:p>
      <w:pPr>
        <w:pStyle w:val="EtiquetteADW"/>
      </w:pPr>
      <w:r>
        <w:t>Ce qu’on attend ici</w:t>
      </w:r>
    </w:p>
    <w:p>
      <w:pPr>
        <w:spacing w:after="120"/>
      </w:pPr>
      <w:r>
        <w:rPr>
          <w:rFonts w:ascii="Calibri" w:hAnsi="Calibri" w:cs="Calibri" w:eastAsia="Calibri"/>
          <w:color w:val="1F2933"/>
          <w:sz w:val="21"/>
        </w:rPr>
        <w:t>Un devis est un document contractuel dès qu’il est signé. Son en-tête doit porter l’identité complète du prestataire, son numéro d’immatriculation, l’identité du client, une date d’émission, un numéro, et une durée de validité. Un document sans ces mentions n’est pas un devis, c’est une estimation, et elle n’engage personne.</w:t>
      </w:r>
    </w:p>
    <w:p>
      <w:pPr>
        <w:spacing w:after="120"/>
      </w:pPr>
      <w:r>
        <w:rPr>
          <w:rFonts w:ascii="Calibri" w:hAnsi="Calibri" w:cs="Calibri" w:eastAsia="Calibri"/>
          <w:color w:val="1F2933"/>
          <w:sz w:val="21"/>
        </w:rPr>
        <w:t>La durée de validité est la mention la plus utile et la plus souvent oubliée. Trente jours reste la pratique courante. Sans elle, le prestataire peut revoir ses prix au moment où vous décidez, et vous n’avez aucun recours. Vérifiez aussi la mention du régime de TVA : les fourchettes de ce guide sont hors taxes, un devis TTC sort vingt pour cent au-dessus.</w:t>
      </w:r>
    </w:p>
    <w:p>
      <w:pPr>
        <w:pStyle w:val="EtiquetteADW"/>
      </w:pPr>
      <w:r>
        <w:t>Les points à couvrir</w:t>
      </w:r>
    </w:p>
    <w:p>
      <w:pPr>
        <w:pStyle w:val="ListBullet"/>
      </w:pPr>
      <w:r>
        <w:rPr>
          <w:rFonts w:ascii="Calibri" w:hAnsi="Calibri" w:cs="Calibri" w:eastAsia="Calibri"/>
          <w:color w:val="1F2933"/>
          <w:sz w:val="21"/>
        </w:rPr>
        <w:t>Raison sociale complète, adresse, numéro d’immatriculation du prestataire.</w:t>
      </w:r>
    </w:p>
    <w:p>
      <w:pPr>
        <w:pStyle w:val="ListBullet"/>
      </w:pPr>
      <w:r>
        <w:rPr>
          <w:rFonts w:ascii="Calibri" w:hAnsi="Calibri" w:cs="Calibri" w:eastAsia="Calibri"/>
          <w:color w:val="1F2933"/>
          <w:sz w:val="21"/>
        </w:rPr>
        <w:t>Numéro de devis, date d’émission, durée de validité.</w:t>
      </w:r>
    </w:p>
    <w:p>
      <w:pPr>
        <w:pStyle w:val="ListBullet"/>
      </w:pPr>
      <w:r>
        <w:rPr>
          <w:rFonts w:ascii="Calibri" w:hAnsi="Calibri" w:cs="Calibri" w:eastAsia="Calibri"/>
          <w:color w:val="1F2933"/>
          <w:sz w:val="21"/>
        </w:rPr>
        <w:t>Identité et adresse du client, nom de l’interlocuteur.</w:t>
      </w:r>
    </w:p>
    <w:p>
      <w:pPr>
        <w:pStyle w:val="ListBullet"/>
      </w:pPr>
      <w:r>
        <w:rPr>
          <w:rFonts w:ascii="Calibri" w:hAnsi="Calibri" w:cs="Calibri" w:eastAsia="Calibri"/>
          <w:color w:val="1F2933"/>
          <w:sz w:val="21"/>
        </w:rPr>
        <w:t>Régime de TVA appliqué, et mention hors taxes ou toutes taxes comprises.</w:t>
      </w:r>
    </w:p>
    <w:p>
      <w:pPr>
        <w:pStyle w:val="ListBullet"/>
      </w:pPr>
      <w:r>
        <w:rPr>
          <w:rFonts w:ascii="Calibri" w:hAnsi="Calibri" w:cs="Calibri" w:eastAsia="Calibri"/>
          <w:color w:val="1F2933"/>
          <w:sz w:val="21"/>
        </w:rPr>
        <w:t>Conditions de règlement et acompte demandé.</w:t>
      </w:r>
    </w:p>
    <w:p>
      <w:pPr>
        <w:pStyle w:val="ListBullet"/>
      </w:pPr>
      <w:r>
        <w:rPr>
          <w:rFonts w:ascii="Calibri" w:hAnsi="Calibri" w:cs="Calibri" w:eastAsia="Calibri"/>
          <w:color w:val="1F2933"/>
          <w:sz w:val="21"/>
        </w:rPr>
        <w:t>Assurance professionnelle, si le prestataire la mentionne.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Devis fictif « Atelier Sorel » : ce que dit chaque ligne</w:t>
            </w:r>
          </w:p>
          <w:p>
            <w:pPr>
              <w:spacing w:after="60" w:line="264" w:lineRule="auto"/>
            </w:pPr>
            <w:r>
              <w:rPr>
                <w:rFonts w:ascii="Calibri" w:hAnsi="Calibri" w:cs="Calibri" w:eastAsia="Calibri"/>
                <w:color w:val="1F2933"/>
                <w:sz w:val="20"/>
              </w:rPr>
              <w:t>Atelier Sorel, devis n° 2026-0147 du 3 mars, valable trente jours.</w:t>
            </w:r>
          </w:p>
          <w:p>
            <w:pPr>
              <w:spacing w:after="60" w:line="264" w:lineRule="auto"/>
            </w:pPr>
            <w:r>
              <w:rPr>
                <w:rFonts w:ascii="Calibri" w:hAnsi="Calibri" w:cs="Calibri" w:eastAsia="Calibri"/>
                <w:color w:val="1F2933"/>
                <w:sz w:val="20"/>
              </w:rPr>
              <w:t>Acompte de 30 % à la commande, solde par jalon validé, règlement à trente jours.</w:t>
            </w:r>
          </w:p>
          <w:p>
            <w:pPr>
              <w:spacing w:after="60" w:line="264" w:lineRule="auto"/>
            </w:pPr>
            <w:r>
              <w:rPr>
                <w:rFonts w:ascii="Calibri" w:hAnsi="Calibri" w:cs="Calibri" w:eastAsia="Calibri"/>
                <w:color w:val="1F2933"/>
                <w:sz w:val="20"/>
              </w:rPr>
              <w:t>Montants hors taxes, TVA de 20 % applicable.</w:t>
            </w:r>
          </w:p>
          <w:p>
            <w:pPr>
              <w:spacing w:after="60" w:line="264" w:lineRule="auto"/>
            </w:pPr>
            <w:r>
              <w:rPr>
                <w:rFonts w:ascii="Calibri" w:hAnsi="Calibri" w:cs="Calibri" w:eastAsia="Calibri"/>
                <w:color w:val="1F2933"/>
                <w:sz w:val="20"/>
              </w:rPr>
              <w:t>À vérifier : la validité est-elle bien de trente jours, et à partir de quelle date court-elle ?</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2. Les lignes de conception, et ce qu’elles recouvrent</w:t>
      </w:r>
    </w:p>
    <w:p>
      <w:pPr>
        <w:pStyle w:val="EtiquetteADW"/>
      </w:pPr>
      <w:r>
        <w:t>Ce qu’on attend ici</w:t>
      </w:r>
    </w:p>
    <w:p>
      <w:pPr>
        <w:spacing w:after="120"/>
      </w:pPr>
      <w:r>
        <w:rPr>
          <w:rFonts w:ascii="Calibri" w:hAnsi="Calibri" w:cs="Calibri" w:eastAsia="Calibri"/>
          <w:color w:val="1F2933"/>
          <w:sz w:val="21"/>
        </w:rPr>
        <w:t>La conception regroupe les ateliers, l’arborescence, les parcours et les maquettes. C’est le poste que les devis bas suppriment en premier, et c’est celui qui évite de payer deux fois le développement. Un devis qui saute de la « prise de brief » au « développement » vous fera arbitrer la structure en cours de fabrication, au moment où changer d’avis coûte le plus cher.</w:t>
      </w:r>
    </w:p>
    <w:p>
      <w:pPr>
        <w:spacing w:after="120"/>
      </w:pPr>
      <w:r>
        <w:rPr>
          <w:rFonts w:ascii="Calibri" w:hAnsi="Calibri" w:cs="Calibri" w:eastAsia="Calibri"/>
          <w:color w:val="1F2933"/>
          <w:sz w:val="21"/>
        </w:rPr>
        <w:t>Regardez ce que la ligne annonce en nombre de gabarits, et non en nombre de pages. Neuf gabarits différents ne coûtent pas le double de quatre, mais un devis établi sur « une quinzaine de pages » ne veut rien dire tant que ce nombre n’est pas posé. Vérifiez enfin le nombre d’allers-retours compris sur les maquettes : au-delà, c’est facturé.</w:t>
      </w:r>
    </w:p>
    <w:p>
      <w:pPr>
        <w:pStyle w:val="EtiquetteADW"/>
      </w:pPr>
      <w:r>
        <w:t>Les points à couvrir</w:t>
      </w:r>
    </w:p>
    <w:p>
      <w:pPr>
        <w:pStyle w:val="ListBullet"/>
      </w:pPr>
      <w:r>
        <w:rPr>
          <w:rFonts w:ascii="Calibri" w:hAnsi="Calibri" w:cs="Calibri" w:eastAsia="Calibri"/>
          <w:color w:val="1F2933"/>
          <w:sz w:val="21"/>
        </w:rPr>
        <w:t>Ateliers de cadrage : combien, avec qui, de quelle durée.</w:t>
      </w:r>
    </w:p>
    <w:p>
      <w:pPr>
        <w:pStyle w:val="ListBullet"/>
      </w:pPr>
      <w:r>
        <w:rPr>
          <w:rFonts w:ascii="Calibri" w:hAnsi="Calibri" w:cs="Calibri" w:eastAsia="Calibri"/>
          <w:color w:val="1F2933"/>
          <w:sz w:val="21"/>
        </w:rPr>
        <w:t>Arborescence et parcours : livrés sous quelle forme.</w:t>
      </w:r>
    </w:p>
    <w:p>
      <w:pPr>
        <w:pStyle w:val="ListBullet"/>
      </w:pPr>
      <w:r>
        <w:rPr>
          <w:rFonts w:ascii="Calibri" w:hAnsi="Calibri" w:cs="Calibri" w:eastAsia="Calibri"/>
          <w:color w:val="1F2933"/>
          <w:sz w:val="21"/>
        </w:rPr>
        <w:t>Nombre de gabarits maquettés, et non nombre de pages.</w:t>
      </w:r>
    </w:p>
    <w:p>
      <w:pPr>
        <w:pStyle w:val="ListBullet"/>
      </w:pPr>
      <w:r>
        <w:rPr>
          <w:rFonts w:ascii="Calibri" w:hAnsi="Calibri" w:cs="Calibri" w:eastAsia="Calibri"/>
          <w:color w:val="1F2933"/>
          <w:sz w:val="21"/>
        </w:rPr>
        <w:t>Nombre d’allers-retours compris, et le prix au-delà.</w:t>
      </w:r>
    </w:p>
    <w:p>
      <w:pPr>
        <w:pStyle w:val="ListBullet"/>
      </w:pPr>
      <w:r>
        <w:rPr>
          <w:rFonts w:ascii="Calibri" w:hAnsi="Calibri" w:cs="Calibri" w:eastAsia="Calibri"/>
          <w:color w:val="1F2933"/>
          <w:sz w:val="21"/>
        </w:rPr>
        <w:t>Version étroite maquettée ou seulement adaptée à l’intégration.</w:t>
      </w:r>
    </w:p>
    <w:p>
      <w:pPr>
        <w:pStyle w:val="ListBullet"/>
      </w:pPr>
      <w:r>
        <w:rPr>
          <w:rFonts w:ascii="Calibri" w:hAnsi="Calibri" w:cs="Calibri" w:eastAsia="Calibri"/>
          <w:color w:val="1F2933"/>
          <w:sz w:val="21"/>
        </w:rPr>
        <w:t>Qui valide, et sous quel délai.</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Devis fictif « Atelier Sorel » : ce que dit chaque ligne</w:t>
            </w:r>
          </w:p>
          <w:p>
            <w:pPr>
              <w:spacing w:after="60" w:line="264" w:lineRule="auto"/>
            </w:pPr>
            <w:r>
              <w:rPr>
                <w:rFonts w:ascii="Calibri" w:hAnsi="Calibri" w:cs="Calibri" w:eastAsia="Calibri"/>
                <w:color w:val="1F2933"/>
                <w:sz w:val="20"/>
              </w:rPr>
              <w:t>Ligne du devis : « Conception et design, 12 jours, 5 400 € HT ».</w:t>
            </w:r>
          </w:p>
          <w:p>
            <w:pPr>
              <w:spacing w:after="60" w:line="264" w:lineRule="auto"/>
            </w:pPr>
            <w:r>
              <w:rPr>
                <w:rFonts w:ascii="Calibri" w:hAnsi="Calibri" w:cs="Calibri" w:eastAsia="Calibri"/>
                <w:color w:val="1F2933"/>
                <w:sz w:val="20"/>
              </w:rPr>
              <w:t>Ce qu’elle dit : neuf gabarits maquettés, deux allers-retours compris, version étroite incluse.</w:t>
            </w:r>
          </w:p>
          <w:p>
            <w:pPr>
              <w:spacing w:after="60" w:line="264" w:lineRule="auto"/>
            </w:pPr>
            <w:r>
              <w:rPr>
                <w:rFonts w:ascii="Calibri" w:hAnsi="Calibri" w:cs="Calibri" w:eastAsia="Calibri"/>
                <w:color w:val="1F2933"/>
                <w:sz w:val="20"/>
              </w:rPr>
              <w:t>Ce qu’elle ne dit pas : combien d’ateliers, ni qui y participe côté prestataire.</w:t>
            </w:r>
          </w:p>
          <w:p>
            <w:pPr>
              <w:spacing w:after="60" w:line="264" w:lineRule="auto"/>
            </w:pPr>
            <w:r>
              <w:rPr>
                <w:rFonts w:ascii="Calibri" w:hAnsi="Calibri" w:cs="Calibri" w:eastAsia="Calibri"/>
                <w:color w:val="1F2933"/>
                <w:sz w:val="20"/>
              </w:rPr>
              <w:t>À demander par écrit : le nombre d’ateliers, leur durée, et le prix d’un aller-retour supplémentaire.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3. Les lignes de développement, et le piège du forfait opaque</w:t>
      </w:r>
    </w:p>
    <w:p>
      <w:pPr>
        <w:pStyle w:val="EtiquetteADW"/>
      </w:pPr>
      <w:r>
        <w:t>Ce qu’on attend ici</w:t>
      </w:r>
    </w:p>
    <w:p>
      <w:pPr>
        <w:spacing w:after="120"/>
      </w:pPr>
      <w:r>
        <w:rPr>
          <w:rFonts w:ascii="Calibri" w:hAnsi="Calibri" w:cs="Calibri" w:eastAsia="Calibri"/>
          <w:color w:val="1F2933"/>
          <w:sz w:val="21"/>
        </w:rPr>
        <w:t>Un forfait sans détail interdit toute comparaison. Exigez le découpage en jours et en profils : qui travaille, combien de jours, à quel tarif journalier. Le produit des deux doit retomber sur le montant de la ligne ; s’il ne retombe pas, demandez l’explication par écrit avant de signer, pas après.</w:t>
      </w:r>
    </w:p>
    <w:p>
      <w:pPr>
        <w:spacing w:after="120"/>
      </w:pPr>
      <w:r>
        <w:rPr>
          <w:rFonts w:ascii="Calibri" w:hAnsi="Calibri" w:cs="Calibri" w:eastAsia="Calibri"/>
          <w:color w:val="1F2933"/>
          <w:sz w:val="21"/>
        </w:rPr>
        <w:t>Méfiez-vous des lignes qui agrègent des choses de natures différentes. « Développement du site » qui couvre à la fois la partie publique, le back-office et une connexion à un outil de gestion mélange trois risques très différents : le premier est prévisible, le deuxième se sous-estime, le troisième est le poste qui dérape le plus. Demandez trois lignes.</w:t>
      </w:r>
    </w:p>
    <w:p>
      <w:pPr>
        <w:pStyle w:val="EtiquetteADW"/>
      </w:pPr>
      <w:r>
        <w:t>Les points à couvrir</w:t>
      </w:r>
    </w:p>
    <w:p>
      <w:pPr>
        <w:pStyle w:val="ListBullet"/>
      </w:pPr>
      <w:r>
        <w:rPr>
          <w:rFonts w:ascii="Calibri" w:hAnsi="Calibri" w:cs="Calibri" w:eastAsia="Calibri"/>
          <w:color w:val="1F2933"/>
          <w:sz w:val="21"/>
        </w:rPr>
        <w:t>Détail en jours et en profils, avec le tarif journalier appliqué.</w:t>
      </w:r>
    </w:p>
    <w:p>
      <w:pPr>
        <w:pStyle w:val="ListBullet"/>
      </w:pPr>
      <w:r>
        <w:rPr>
          <w:rFonts w:ascii="Calibri" w:hAnsi="Calibri" w:cs="Calibri" w:eastAsia="Calibri"/>
          <w:color w:val="1F2933"/>
          <w:sz w:val="21"/>
        </w:rPr>
        <w:t>Séparation entre partie publique, back-office et intégrations.</w:t>
      </w:r>
    </w:p>
    <w:p>
      <w:pPr>
        <w:pStyle w:val="ListBullet"/>
      </w:pPr>
      <w:r>
        <w:rPr>
          <w:rFonts w:ascii="Calibri" w:hAnsi="Calibri" w:cs="Calibri" w:eastAsia="Calibri"/>
          <w:color w:val="1F2933"/>
          <w:sz w:val="21"/>
        </w:rPr>
        <w:t>Le socle technique retenu, et pourquoi.</w:t>
      </w:r>
    </w:p>
    <w:p>
      <w:pPr>
        <w:pStyle w:val="ListBullet"/>
      </w:pPr>
      <w:r>
        <w:rPr>
          <w:rFonts w:ascii="Calibri" w:hAnsi="Calibri" w:cs="Calibri" w:eastAsia="Calibri"/>
          <w:color w:val="1F2933"/>
          <w:sz w:val="21"/>
        </w:rPr>
        <w:t>Ce qui est développé sur mesure et ce qui vient d’un composant existant.</w:t>
      </w:r>
    </w:p>
    <w:p>
      <w:pPr>
        <w:pStyle w:val="ListBullet"/>
      </w:pPr>
      <w:r>
        <w:rPr>
          <w:rFonts w:ascii="Calibri" w:hAnsi="Calibri" w:cs="Calibri" w:eastAsia="Calibri"/>
          <w:color w:val="1F2933"/>
          <w:sz w:val="21"/>
        </w:rPr>
        <w:t>Les licences de composants tiers, et à quel nom elles sont souscrites.</w:t>
      </w:r>
    </w:p>
    <w:p>
      <w:pPr>
        <w:pStyle w:val="ListBullet"/>
      </w:pPr>
      <w:r>
        <w:rPr>
          <w:rFonts w:ascii="Calibri" w:hAnsi="Calibri" w:cs="Calibri" w:eastAsia="Calibri"/>
          <w:color w:val="1F2933"/>
          <w:sz w:val="21"/>
        </w:rPr>
        <w:t>Le nombre d’environnements livrés, et qui les paie.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Devis fictif « Atelier Sorel » : ce que dit chaque ligne</w:t>
            </w:r>
          </w:p>
          <w:p>
            <w:pPr>
              <w:spacing w:after="60" w:line="264" w:lineRule="auto"/>
            </w:pPr>
            <w:r>
              <w:rPr>
                <w:rFonts w:ascii="Calibri" w:hAnsi="Calibri" w:cs="Calibri" w:eastAsia="Calibri"/>
                <w:color w:val="1F2933"/>
                <w:sz w:val="20"/>
              </w:rPr>
              <w:t>Ligne du devis : « Développement, forfait, 19 800 € HT », sans détail.</w:t>
            </w:r>
          </w:p>
          <w:p>
            <w:pPr>
              <w:spacing w:after="60" w:line="264" w:lineRule="auto"/>
            </w:pPr>
            <w:r>
              <w:rPr>
                <w:rFonts w:ascii="Calibri" w:hAnsi="Calibri" w:cs="Calibri" w:eastAsia="Calibri"/>
                <w:color w:val="1F2933"/>
                <w:sz w:val="20"/>
              </w:rPr>
              <w:t>Reformulée après demande : 33 jours à 600 € HT, répartis en 14 jours de partie publique, 12 de back-office et 7 d’intégration au logiciel de gestion.</w:t>
            </w:r>
          </w:p>
          <w:p>
            <w:pPr>
              <w:spacing w:after="60" w:line="264" w:lineRule="auto"/>
            </w:pPr>
            <w:r>
              <w:rPr>
                <w:rFonts w:ascii="Calibri" w:hAnsi="Calibri" w:cs="Calibri" w:eastAsia="Calibri"/>
                <w:color w:val="1F2933"/>
                <w:sz w:val="20"/>
              </w:rPr>
              <w:t>Ce que la reformulation révèle : l’intégration ne pèse que 7 jours alors que le cahier des charges décrit trois flux, dont un en temps réel.</w:t>
            </w:r>
          </w:p>
          <w:p>
            <w:pPr>
              <w:spacing w:after="60" w:line="264" w:lineRule="auto"/>
            </w:pPr>
            <w:r>
              <w:rPr>
                <w:rFonts w:ascii="Calibri" w:hAnsi="Calibri" w:cs="Calibri" w:eastAsia="Calibri"/>
                <w:color w:val="1F2933"/>
                <w:sz w:val="20"/>
              </w:rPr>
              <w:t>À demander par écrit : sur quelle hypothèse technique ces 7 jours sont-ils chiffrés, et que se passe-t-il si elle ne tient pas ?</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4. Les lignes qu’on ne trouve pas, et qui se paient quand même</w:t>
      </w:r>
    </w:p>
    <w:p>
      <w:pPr>
        <w:pStyle w:val="EtiquetteADW"/>
      </w:pPr>
      <w:r>
        <w:t>Ce qu’on attend ici</w:t>
      </w:r>
    </w:p>
    <w:p>
      <w:pPr>
        <w:spacing w:after="120"/>
      </w:pPr>
      <w:r>
        <w:rPr>
          <w:rFonts w:ascii="Calibri" w:hAnsi="Calibri" w:cs="Calibri" w:eastAsia="Calibri"/>
          <w:color w:val="1F2933"/>
          <w:sz w:val="21"/>
        </w:rPr>
        <w:t>Les postes absents coûtent plus cher que les postes présents, parce qu’ils arrivent en cours de projet, sans mise en concurrence. Cinq reviennent presque toujours : la reprise des contenus, le plan de redirections sur une refonte, les environnements de test, la formation à la prise en main, et la documentation d’exploitation.</w:t>
      </w:r>
    </w:p>
    <w:p>
      <w:pPr>
        <w:spacing w:after="120"/>
      </w:pPr>
      <w:r>
        <w:rPr>
          <w:rFonts w:ascii="Calibri" w:hAnsi="Calibri" w:cs="Calibri" w:eastAsia="Calibri"/>
          <w:color w:val="1F2933"/>
          <w:sz w:val="21"/>
        </w:rPr>
        <w:t>La règle de lecture est simple : ce qui n’est pas écrit n’est pas vendu. Cela ne veut pas dire que le prestataire est de mauvaise foi ; cela veut dire que vous et lui n’avez pas la même idée du périmètre, et que la différence se réglera à votre charge. Listez donc les absences et demandez, pour chacune, si elle est incluse, exclue, ou chiffrable en option.</w:t>
      </w:r>
    </w:p>
    <w:p>
      <w:pPr>
        <w:pStyle w:val="EtiquetteADW"/>
      </w:pPr>
      <w:r>
        <w:t>Les points à couvrir</w:t>
      </w:r>
    </w:p>
    <w:p>
      <w:pPr>
        <w:pStyle w:val="ListBullet"/>
      </w:pPr>
      <w:r>
        <w:rPr>
          <w:rFonts w:ascii="Calibri" w:hAnsi="Calibri" w:cs="Calibri" w:eastAsia="Calibri"/>
          <w:color w:val="1F2933"/>
          <w:sz w:val="21"/>
        </w:rPr>
        <w:t>Reprise et mise en forme des contenus : qui, combien, sur quel volume.</w:t>
      </w:r>
    </w:p>
    <w:p>
      <w:pPr>
        <w:pStyle w:val="ListBullet"/>
      </w:pPr>
      <w:r>
        <w:rPr>
          <w:rFonts w:ascii="Calibri" w:hAnsi="Calibri" w:cs="Calibri" w:eastAsia="Calibri"/>
          <w:color w:val="1F2933"/>
          <w:sz w:val="21"/>
        </w:rPr>
        <w:t>Plan de redirections, sur une refonte : livrable contractuel ou pas.</w:t>
      </w:r>
    </w:p>
    <w:p>
      <w:pPr>
        <w:pStyle w:val="ListBullet"/>
      </w:pPr>
      <w:r>
        <w:rPr>
          <w:rFonts w:ascii="Calibri" w:hAnsi="Calibri" w:cs="Calibri" w:eastAsia="Calibri"/>
          <w:color w:val="1F2933"/>
          <w:sz w:val="21"/>
        </w:rPr>
        <w:t>Environnements de développement et de test : combien, payés par qui.</w:t>
      </w:r>
    </w:p>
    <w:p>
      <w:pPr>
        <w:pStyle w:val="ListBullet"/>
      </w:pPr>
      <w:r>
        <w:rPr>
          <w:rFonts w:ascii="Calibri" w:hAnsi="Calibri" w:cs="Calibri" w:eastAsia="Calibri"/>
          <w:color w:val="1F2933"/>
          <w:sz w:val="21"/>
        </w:rPr>
        <w:t>Formation à la prise en main et documentation d’exploitation.</w:t>
      </w:r>
    </w:p>
    <w:p>
      <w:pPr>
        <w:pStyle w:val="ListBullet"/>
      </w:pPr>
      <w:r>
        <w:rPr>
          <w:rFonts w:ascii="Calibri" w:hAnsi="Calibri" w:cs="Calibri" w:eastAsia="Calibri"/>
          <w:color w:val="1F2933"/>
          <w:sz w:val="21"/>
        </w:rPr>
        <w:t>Accompagnement à la mise en ligne et surveillance des premiers jours.</w:t>
      </w:r>
    </w:p>
    <w:p>
      <w:pPr>
        <w:pStyle w:val="ListBullet"/>
      </w:pPr>
      <w:r>
        <w:rPr>
          <w:rFonts w:ascii="Calibri" w:hAnsi="Calibri" w:cs="Calibri" w:eastAsia="Calibri"/>
          <w:color w:val="1F2933"/>
          <w:sz w:val="21"/>
        </w:rPr>
        <w:t>Garantie après mise en ligne : durée, périmètre, délais de correction.</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Devis fictif « Atelier Sorel » : ce que dit chaque ligne</w:t>
            </w:r>
          </w:p>
          <w:p>
            <w:pPr>
              <w:spacing w:after="60" w:line="264" w:lineRule="auto"/>
            </w:pPr>
            <w:r>
              <w:rPr>
                <w:rFonts w:ascii="Calibri" w:hAnsi="Calibri" w:cs="Calibri" w:eastAsia="Calibri"/>
                <w:color w:val="1F2933"/>
                <w:sz w:val="20"/>
              </w:rPr>
              <w:t>Absent du devis fictif : la reprise des contenus, alors que le cahier des charges annonce 2 300 fiches à importer.</w:t>
            </w:r>
          </w:p>
          <w:p>
            <w:pPr>
              <w:spacing w:after="60" w:line="264" w:lineRule="auto"/>
            </w:pPr>
            <w:r>
              <w:rPr>
                <w:rFonts w:ascii="Calibri" w:hAnsi="Calibri" w:cs="Calibri" w:eastAsia="Calibri"/>
                <w:color w:val="1F2933"/>
                <w:sz w:val="20"/>
              </w:rPr>
              <w:t>Absent également : le plan de redirections, sur un projet qui remplace un site existant de 34 adresses publiques.</w:t>
            </w:r>
          </w:p>
          <w:p>
            <w:pPr>
              <w:spacing w:after="60" w:line="264" w:lineRule="auto"/>
            </w:pPr>
            <w:r>
              <w:rPr>
                <w:rFonts w:ascii="Calibri" w:hAnsi="Calibri" w:cs="Calibri" w:eastAsia="Calibri"/>
                <w:color w:val="1F2933"/>
                <w:sz w:val="20"/>
              </w:rPr>
              <w:t>À demander par écrit : ces deux postes sont-ils exclus, ou simplement oubliés ? Et s’ils sont exclus, qui les prend en charge ?</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5. La validation, la garantie et la maintenance</w:t>
      </w:r>
    </w:p>
    <w:p>
      <w:pPr>
        <w:pStyle w:val="EtiquetteADW"/>
      </w:pPr>
      <w:r>
        <w:t>Ce qu’on attend ici</w:t>
      </w:r>
    </w:p>
    <w:p>
      <w:pPr>
        <w:spacing w:after="120"/>
      </w:pPr>
      <w:r>
        <w:rPr>
          <w:rFonts w:ascii="Calibri" w:hAnsi="Calibri" w:cs="Calibri" w:eastAsia="Calibri"/>
          <w:color w:val="1F2933"/>
          <w:sz w:val="21"/>
        </w:rPr>
        <w:t>Trois lignes distinctes que les devis confondent souvent. La validation, c’est la campagne de tests avant mise en ligne : combien de jours, sur quels appareils et navigateurs, avec combien de cycles de corrections compris. La garantie, c’est la période qui suit la mise en ligne, pendant laquelle les anomalies sont corrigées sans facturation : sa durée et son périmètre doivent être écrits.</w:t>
      </w:r>
    </w:p>
    <w:p>
      <w:pPr>
        <w:spacing w:after="120"/>
      </w:pPr>
      <w:r>
        <w:rPr>
          <w:rFonts w:ascii="Calibri" w:hAnsi="Calibri" w:cs="Calibri" w:eastAsia="Calibri"/>
          <w:color w:val="1F2933"/>
          <w:sz w:val="21"/>
        </w:rPr>
        <w:t>La maintenance, enfin, est un contrat séparé et récurrent. Exigez son contenu, ses délais d’intervention par niveau de gravité et son prix annuel. L’ordre de grandeur publié par ce guide est de 10 à 20 % du coût de développement par an, mises à jour de sécurité, correctifs et petites évolutions comprises. Un devis de fabrication sans ligne de maintenance annonce un budget incomplet.</w:t>
      </w:r>
    </w:p>
    <w:p>
      <w:pPr>
        <w:pStyle w:val="EtiquetteADW"/>
      </w:pPr>
      <w:r>
        <w:t>Les points à couvrir</w:t>
      </w:r>
    </w:p>
    <w:p>
      <w:pPr>
        <w:pStyle w:val="ListBullet"/>
      </w:pPr>
      <w:r>
        <w:rPr>
          <w:rFonts w:ascii="Calibri" w:hAnsi="Calibri" w:cs="Calibri" w:eastAsia="Calibri"/>
          <w:color w:val="1F2933"/>
          <w:sz w:val="21"/>
        </w:rPr>
        <w:t>Campagne de tests : jours, appareils, navigateurs, cycles de corrections compris.</w:t>
      </w:r>
    </w:p>
    <w:p>
      <w:pPr>
        <w:pStyle w:val="ListBullet"/>
      </w:pPr>
      <w:r>
        <w:rPr>
          <w:rFonts w:ascii="Calibri" w:hAnsi="Calibri" w:cs="Calibri" w:eastAsia="Calibri"/>
          <w:color w:val="1F2933"/>
          <w:sz w:val="21"/>
        </w:rPr>
        <w:t>Garantie : durée, périmètre, ce qui en est exclu.</w:t>
      </w:r>
    </w:p>
    <w:p>
      <w:pPr>
        <w:pStyle w:val="ListBullet"/>
      </w:pPr>
      <w:r>
        <w:rPr>
          <w:rFonts w:ascii="Calibri" w:hAnsi="Calibri" w:cs="Calibri" w:eastAsia="Calibri"/>
          <w:color w:val="1F2933"/>
          <w:sz w:val="21"/>
        </w:rPr>
        <w:t>Délais de correction par niveau de gravité, écrits.</w:t>
      </w:r>
    </w:p>
    <w:p>
      <w:pPr>
        <w:pStyle w:val="ListBullet"/>
      </w:pPr>
      <w:r>
        <w:rPr>
          <w:rFonts w:ascii="Calibri" w:hAnsi="Calibri" w:cs="Calibri" w:eastAsia="Calibri"/>
          <w:color w:val="1F2933"/>
          <w:sz w:val="21"/>
        </w:rPr>
        <w:t>Maintenance : contenu, prix annuel, durée d’engagement, mode de révision.</w:t>
      </w:r>
    </w:p>
    <w:p>
      <w:pPr>
        <w:pStyle w:val="ListBullet"/>
      </w:pPr>
      <w:r>
        <w:rPr>
          <w:rFonts w:ascii="Calibri" w:hAnsi="Calibri" w:cs="Calibri" w:eastAsia="Calibri"/>
          <w:color w:val="1F2933"/>
          <w:sz w:val="21"/>
        </w:rPr>
        <w:t>Hébergement : au nom de qui, chez qui, à quel coût annuel.</w:t>
      </w:r>
    </w:p>
    <w:p>
      <w:pPr>
        <w:pStyle w:val="ListBullet"/>
      </w:pPr>
      <w:r>
        <w:rPr>
          <w:rFonts w:ascii="Calibri" w:hAnsi="Calibri" w:cs="Calibri" w:eastAsia="Calibri"/>
          <w:color w:val="1F2933"/>
          <w:sz w:val="21"/>
        </w:rPr>
        <w:t>Ce qui se passe si vous ne reconduisez pas la maintenance.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Devis fictif « Atelier Sorel » : ce que dit chaque ligne</w:t>
            </w:r>
          </w:p>
          <w:p>
            <w:pPr>
              <w:spacing w:after="60" w:line="264" w:lineRule="auto"/>
            </w:pPr>
            <w:r>
              <w:rPr>
                <w:rFonts w:ascii="Calibri" w:hAnsi="Calibri" w:cs="Calibri" w:eastAsia="Calibri"/>
                <w:color w:val="1F2933"/>
                <w:sz w:val="20"/>
              </w:rPr>
              <w:t>Ligne du devis : « Tests et corrections, 4 jours, 2 400 € HT ».</w:t>
            </w:r>
          </w:p>
          <w:p>
            <w:pPr>
              <w:spacing w:after="60" w:line="264" w:lineRule="auto"/>
            </w:pPr>
            <w:r>
              <w:rPr>
                <w:rFonts w:ascii="Calibri" w:hAnsi="Calibri" w:cs="Calibri" w:eastAsia="Calibri"/>
                <w:color w:val="1F2933"/>
                <w:sz w:val="20"/>
              </w:rPr>
              <w:t>Ce qu’elle ne dit pas : le nombre de cycles de corrections compris, ni les appareils couverts.</w:t>
            </w:r>
          </w:p>
          <w:p>
            <w:pPr>
              <w:spacing w:after="60" w:line="264" w:lineRule="auto"/>
            </w:pPr>
            <w:r>
              <w:rPr>
                <w:rFonts w:ascii="Calibri" w:hAnsi="Calibri" w:cs="Calibri" w:eastAsia="Calibri"/>
                <w:color w:val="1F2933"/>
                <w:sz w:val="20"/>
              </w:rPr>
              <w:t>Garantie annoncée : trois mois, sans précision de périmètre.</w:t>
            </w:r>
          </w:p>
          <w:p>
            <w:pPr>
              <w:spacing w:after="60" w:line="264" w:lineRule="auto"/>
            </w:pPr>
            <w:r>
              <w:rPr>
                <w:rFonts w:ascii="Calibri" w:hAnsi="Calibri" w:cs="Calibri" w:eastAsia="Calibri"/>
                <w:color w:val="1F2933"/>
                <w:sz w:val="20"/>
              </w:rPr>
              <w:t>Maintenance : absente du devis. Sur une fabrication à 42 000 € HT, elle représenterait 4 200 à 8 400 € par an selon l’ordre de grandeur du guide.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6. La propriété, la réversibilité et le cadre juridique</w:t>
      </w:r>
    </w:p>
    <w:p>
      <w:pPr>
        <w:pStyle w:val="EtiquetteADW"/>
      </w:pPr>
      <w:r>
        <w:t>Ce qu’on attend ici</w:t>
      </w:r>
    </w:p>
    <w:p>
      <w:pPr>
        <w:spacing w:after="120"/>
      </w:pPr>
      <w:r>
        <w:rPr>
          <w:rFonts w:ascii="Calibri" w:hAnsi="Calibri" w:cs="Calibri" w:eastAsia="Calibri"/>
          <w:color w:val="1F2933"/>
          <w:sz w:val="21"/>
        </w:rPr>
        <w:t>C’est la partie que personne ne lit et qui décide de la valeur de votre investissement dans deux ans. Trois questions : à qui appartiennent les développements spécifiques, que récupérez-vous si vous partez, et sous quelles conditions. Une cession de droits ne se présume pas, elle s’écrit.</w:t>
      </w:r>
    </w:p>
    <w:p>
      <w:pPr>
        <w:spacing w:after="120"/>
      </w:pPr>
      <w:r>
        <w:rPr>
          <w:rFonts w:ascii="Calibri" w:hAnsi="Calibri" w:cs="Calibri" w:eastAsia="Calibri"/>
          <w:color w:val="1F2933"/>
          <w:sz w:val="21"/>
        </w:rPr>
        <w:t>Demandez la liste des composants tiers et leurs licences. Un site construit sur des briques libres est une bonne chose ; découvrir après coup qu’un composant essentiel est soumis à un abonnement annuel souscrit au nom du prestataire en est une mauvaise. Vérifiez enfin que le nom de domaine et l’hébergement sont à votre nom, pas au sien.</w:t>
      </w:r>
    </w:p>
    <w:p>
      <w:pPr>
        <w:pStyle w:val="EtiquetteADW"/>
      </w:pPr>
      <w:r>
        <w:t>Les points à couvrir</w:t>
      </w:r>
    </w:p>
    <w:p>
      <w:pPr>
        <w:pStyle w:val="ListBullet"/>
      </w:pPr>
      <w:r>
        <w:rPr>
          <w:rFonts w:ascii="Calibri" w:hAnsi="Calibri" w:cs="Calibri" w:eastAsia="Calibri"/>
          <w:color w:val="1F2933"/>
          <w:sz w:val="21"/>
        </w:rPr>
        <w:t>Cession des droits sur les développements spécifiques, par écrit.</w:t>
      </w:r>
    </w:p>
    <w:p>
      <w:pPr>
        <w:pStyle w:val="ListBullet"/>
      </w:pPr>
      <w:r>
        <w:rPr>
          <w:rFonts w:ascii="Calibri" w:hAnsi="Calibri" w:cs="Calibri" w:eastAsia="Calibri"/>
          <w:color w:val="1F2933"/>
          <w:sz w:val="21"/>
        </w:rPr>
        <w:t>Liste des composants tiers et de leurs licences, fournie à la livraison.</w:t>
      </w:r>
    </w:p>
    <w:p>
      <w:pPr>
        <w:pStyle w:val="ListBullet"/>
      </w:pPr>
      <w:r>
        <w:rPr>
          <w:rFonts w:ascii="Calibri" w:hAnsi="Calibri" w:cs="Calibri" w:eastAsia="Calibri"/>
          <w:color w:val="1F2933"/>
          <w:sz w:val="21"/>
        </w:rPr>
        <w:t>Réversibilité : code, base, médias, accès, documentation d’installation.</w:t>
      </w:r>
    </w:p>
    <w:p>
      <w:pPr>
        <w:pStyle w:val="ListBullet"/>
      </w:pPr>
      <w:r>
        <w:rPr>
          <w:rFonts w:ascii="Calibri" w:hAnsi="Calibri" w:cs="Calibri" w:eastAsia="Calibri"/>
          <w:color w:val="1F2933"/>
          <w:sz w:val="21"/>
        </w:rPr>
        <w:t>Nom de domaine et hébergement au nom du client.</w:t>
      </w:r>
    </w:p>
    <w:p>
      <w:pPr>
        <w:pStyle w:val="ListBullet"/>
      </w:pPr>
      <w:r>
        <w:rPr>
          <w:rFonts w:ascii="Calibri" w:hAnsi="Calibri" w:cs="Calibri" w:eastAsia="Calibri"/>
          <w:color w:val="1F2933"/>
          <w:sz w:val="21"/>
        </w:rPr>
        <w:t>Sous-traitance déclarée, et sur quelle part.</w:t>
      </w:r>
    </w:p>
    <w:p>
      <w:pPr>
        <w:pStyle w:val="ListBullet"/>
      </w:pPr>
      <w:r>
        <w:rPr>
          <w:rFonts w:ascii="Calibri" w:hAnsi="Calibri" w:cs="Calibri" w:eastAsia="Calibri"/>
          <w:color w:val="1F2933"/>
          <w:sz w:val="21"/>
        </w:rPr>
        <w:t>Droit applicable et juridiction, en cas de désaccord.</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Devis fictif « Atelier Sorel » : ce que dit chaque ligne</w:t>
            </w:r>
          </w:p>
          <w:p>
            <w:pPr>
              <w:spacing w:after="60" w:line="264" w:lineRule="auto"/>
            </w:pPr>
            <w:r>
              <w:rPr>
                <w:rFonts w:ascii="Calibri" w:hAnsi="Calibri" w:cs="Calibri" w:eastAsia="Calibri"/>
                <w:color w:val="1F2933"/>
                <w:sz w:val="20"/>
              </w:rPr>
              <w:t>Mention du devis fictif : « Le code source est livré au client ».</w:t>
            </w:r>
          </w:p>
          <w:p>
            <w:pPr>
              <w:spacing w:after="60" w:line="264" w:lineRule="auto"/>
            </w:pPr>
            <w:r>
              <w:rPr>
                <w:rFonts w:ascii="Calibri" w:hAnsi="Calibri" w:cs="Calibri" w:eastAsia="Calibri"/>
                <w:color w:val="1F2933"/>
                <w:sz w:val="20"/>
              </w:rPr>
              <w:t>Ce qu’elle ne dit pas : « livré » n’est pas « cédé ». La cession des droits patrimoniaux doit être écrite, avec son étendue et sa durée.</w:t>
            </w:r>
          </w:p>
          <w:p>
            <w:pPr>
              <w:spacing w:after="60" w:line="264" w:lineRule="auto"/>
            </w:pPr>
            <w:r>
              <w:rPr>
                <w:rFonts w:ascii="Calibri" w:hAnsi="Calibri" w:cs="Calibri" w:eastAsia="Calibri"/>
                <w:color w:val="1F2933"/>
                <w:sz w:val="20"/>
              </w:rPr>
              <w:t>À demander par écrit : une clause de cession, la liste des composants tiers, et la confirmation que le domaine sera enregistré au nom du client.</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7. Comparer trois devis sans se faire piéger</w:t>
      </w:r>
    </w:p>
    <w:p>
      <w:pPr>
        <w:pStyle w:val="EtiquetteADW"/>
      </w:pPr>
      <w:r>
        <w:t>Ce qu’on attend ici</w:t>
      </w:r>
    </w:p>
    <w:p>
      <w:pPr>
        <w:spacing w:after="120"/>
      </w:pPr>
      <w:r>
        <w:rPr>
          <w:rFonts w:ascii="Calibri" w:hAnsi="Calibri" w:cs="Calibri" w:eastAsia="Calibri"/>
          <w:color w:val="1F2933"/>
          <w:sz w:val="21"/>
        </w:rPr>
        <w:t>Comparez des périmètres, jamais des totaux. La méthode tient en trois gestes : reportez chaque devis poste par poste dans la grille jointe, repérez les lignes vides chez l’un et pleines chez l’autre, puis posez les questions par écrit à tous les candidats en même temps. Un poste à zéro n’est pas une économie, c’est une prestation absente.</w:t>
      </w:r>
    </w:p>
    <w:p>
      <w:pPr>
        <w:spacing w:after="120"/>
      </w:pPr>
      <w:r>
        <w:rPr>
          <w:rFonts w:ascii="Calibri" w:hAnsi="Calibri" w:cs="Calibri" w:eastAsia="Calibri"/>
          <w:color w:val="1F2933"/>
          <w:sz w:val="21"/>
        </w:rPr>
        <w:t>Un écart de plus de 40 % sur une même ligne entre deux prestataires sérieux signale presque toujours une hypothèse différente, pas un prix différent. C’est le cas typique des intégrations : l’un a supposé un export nocturne de fichier, l’autre une synchronisation en temps réel. Faire expliciter l’hypothèse coûte un courriel et vaut plusieurs milliers d’euros.</w:t>
      </w:r>
    </w:p>
    <w:p>
      <w:pPr>
        <w:spacing w:after="120"/>
      </w:pPr>
      <w:r>
        <w:rPr>
          <w:rFonts w:ascii="Calibri" w:hAnsi="Calibri" w:cs="Calibri" w:eastAsia="Calibri"/>
          <w:color w:val="1F2933"/>
          <w:sz w:val="21"/>
        </w:rPr>
        <w:t>Gardez enfin un critère qui ne se lit pas dans les chiffres : la qualité des questions que le prestataire vous a posées pendant la consultation. C’est, de loin, le meilleur prédicteur de la qualité du projet à venir.</w:t>
      </w:r>
    </w:p>
    <w:p>
      <w:pPr>
        <w:pStyle w:val="EtiquetteADW"/>
      </w:pPr>
      <w:r>
        <w:t>Les points à couvrir</w:t>
      </w:r>
    </w:p>
    <w:p>
      <w:pPr>
        <w:pStyle w:val="ListBullet"/>
      </w:pPr>
      <w:r>
        <w:rPr>
          <w:rFonts w:ascii="Calibri" w:hAnsi="Calibri" w:cs="Calibri" w:eastAsia="Calibri"/>
          <w:color w:val="1F2933"/>
          <w:sz w:val="21"/>
        </w:rPr>
        <w:t>Report poste par poste dans la grille, pour les trois devis.</w:t>
      </w:r>
    </w:p>
    <w:p>
      <w:pPr>
        <w:pStyle w:val="ListBullet"/>
      </w:pPr>
      <w:r>
        <w:rPr>
          <w:rFonts w:ascii="Calibri" w:hAnsi="Calibri" w:cs="Calibri" w:eastAsia="Calibri"/>
          <w:color w:val="1F2933"/>
          <w:sz w:val="21"/>
        </w:rPr>
        <w:t>Repérage des lignes absentes chez l’un et présentes chez l’autre.</w:t>
      </w:r>
    </w:p>
    <w:p>
      <w:pPr>
        <w:pStyle w:val="ListBullet"/>
      </w:pPr>
      <w:r>
        <w:rPr>
          <w:rFonts w:ascii="Calibri" w:hAnsi="Calibri" w:cs="Calibri" w:eastAsia="Calibri"/>
          <w:color w:val="1F2933"/>
          <w:sz w:val="21"/>
        </w:rPr>
        <w:t>Explicitation écrite des hypothèses sur les lignes qui s’écartent de plus de 40 %.</w:t>
      </w:r>
    </w:p>
    <w:p>
      <w:pPr>
        <w:pStyle w:val="ListBullet"/>
      </w:pPr>
      <w:r>
        <w:rPr>
          <w:rFonts w:ascii="Calibri" w:hAnsi="Calibri" w:cs="Calibri" w:eastAsia="Calibri"/>
          <w:color w:val="1F2933"/>
          <w:sz w:val="21"/>
        </w:rPr>
        <w:t>Vérification que jours × tarif journalier retombe sur chaque total.</w:t>
      </w:r>
    </w:p>
    <w:p>
      <w:pPr>
        <w:pStyle w:val="ListBullet"/>
      </w:pPr>
      <w:r>
        <w:rPr>
          <w:rFonts w:ascii="Calibri" w:hAnsi="Calibri" w:cs="Calibri" w:eastAsia="Calibri"/>
          <w:color w:val="1F2933"/>
          <w:sz w:val="21"/>
        </w:rPr>
        <w:t>Comparaison du coût de la première année, maintenance et hébergement compris.</w:t>
      </w:r>
    </w:p>
    <w:p>
      <w:pPr>
        <w:pStyle w:val="ListBullet"/>
      </w:pPr>
      <w:r>
        <w:rPr>
          <w:rFonts w:ascii="Calibri" w:hAnsi="Calibri" w:cs="Calibri" w:eastAsia="Calibri"/>
          <w:color w:val="1F2933"/>
          <w:sz w:val="21"/>
        </w:rPr>
        <w:t>Qualité des questions posées pendant la consultation.</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Devis fictif « Atelier Sorel » : ce que dit chaque ligne</w:t>
            </w:r>
          </w:p>
          <w:p>
            <w:pPr>
              <w:spacing w:after="60" w:line="264" w:lineRule="auto"/>
            </w:pPr>
            <w:r>
              <w:rPr>
                <w:rFonts w:ascii="Calibri" w:hAnsi="Calibri" w:cs="Calibri" w:eastAsia="Calibri"/>
                <w:color w:val="1F2933"/>
                <w:sz w:val="20"/>
              </w:rPr>
              <w:t>Devis A : 42 000 € HT, intégration chiffrée 7 jours. Devis B : 51 000 € HT, intégration chiffrée 16 jours. Devis C : 38 000 € HT, intégration absente.</w:t>
            </w:r>
          </w:p>
          <w:p>
            <w:pPr>
              <w:spacing w:after="60" w:line="264" w:lineRule="auto"/>
            </w:pPr>
            <w:r>
              <w:rPr>
                <w:rFonts w:ascii="Calibri" w:hAnsi="Calibri" w:cs="Calibri" w:eastAsia="Calibri"/>
                <w:color w:val="1F2933"/>
                <w:sz w:val="20"/>
              </w:rPr>
              <w:t>Ce que la grille révèle : les trois ne chiffrent pas le même projet. C n’a pas chiffré l’intégration, A l’a supposée simple, B l’a supposée bidirectionnelle.</w:t>
            </w:r>
          </w:p>
          <w:p>
            <w:pPr>
              <w:spacing w:after="60" w:line="264" w:lineRule="auto"/>
            </w:pPr>
            <w:r>
              <w:rPr>
                <w:rFonts w:ascii="Calibri" w:hAnsi="Calibri" w:cs="Calibri" w:eastAsia="Calibri"/>
                <w:color w:val="1F2933"/>
                <w:sz w:val="20"/>
              </w:rPr>
              <w:t>Coût de la première année, maintenance comprise : A 46 200 à 50 400 €, B 56 100 à 61 200 €, C inconnu tant que l’intégration n’est pas chiffrée.</w:t>
            </w:r>
          </w:p>
          <w:p>
            <w:pPr>
              <w:spacing w:after="60" w:line="264" w:lineRule="auto"/>
            </w:pPr>
            <w:r>
              <w:rPr>
                <w:rFonts w:ascii="Calibri" w:hAnsi="Calibri" w:cs="Calibri" w:eastAsia="Calibri"/>
                <w:color w:val="1F2933"/>
                <w:sz w:val="20"/>
              </w:rPr>
              <w:t>À demander aux trois, le même jour : sur quelle hypothèse d’intégration chiffrez-vous, et que se passe-t-il si elle ne tient pas ?</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Check-list de relecture d’un devis</w:t>
      </w:r>
    </w:p>
    <w:p>
      <w:pPr>
        <w:spacing w:after="120"/>
      </w:pPr>
      <w:r>
        <w:rPr>
          <w:rFonts w:ascii="Calibri" w:hAnsi="Calibri" w:cs="Calibri" w:eastAsia="Calibri"/>
          <w:color w:val="1F2933"/>
          <w:sz w:val="21"/>
        </w:rPr>
        <w:t>Passez chaque devis reçu dans cette liste avant de comparer les totaux. Une case non cochée est une question à envoyer, pas une raison d’écarter le prestataire.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L’en-tête porte l’immatriculation du prestataire, un numéro et une date.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durée de validité est écrite, et la date à partir de laquelle elle court.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montants sont hors taxes, et le régime de TVA est mentionné.</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conception est chiffrée en nombre de gabarits, pas en nombre de pages.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nombre d’allers-retours compris sur les maquettes est écrit.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développement est détaillé en jours et en profils, avec le tarif journalier.</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Partie publique, back-office et intégrations font des lignes séparées.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Jours multipliés par tarif journalier retombe sur le total de chaque ligne.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reprise des contenus est chiffrée, ou explicitement exclue.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plan de redirections figure au devis si le projet remplace un site existant.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campagne de tests précise les appareils et le nombre de cycles compris.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garantie porte une durée et un périmètre.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maintenance est chiffrée à l’année, avec ses délais par gravité.</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cession des droits sur les développements spécifiques est écrite.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liste des composants tiers et de leurs licences est annoncée.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nom de domaine et l’hébergement sont au nom du client.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coût de la première année est calculé, maintenance et hébergement compris.</w:t>
      </w:r>
    </w:p>
    <w:p>
      <w:pPr>
        <w:spacing w:after="120"/>
      </w:pPr>
      <w:r>
        <w:rPr>
          <w:rFonts w:ascii="Calibri" w:hAnsi="Calibri" w:cs="Calibri" w:eastAsia="Calibri"/>
          <w:color w:val="1F2933"/>
          <w:sz w:val="21"/>
        </w:rPr>
      </w:r>
    </w:p>
    <w:p>
      <w:pPr>
        <w:pBdr>
          <w:bottom w:val="single" w:sz="4" w:space="4" w:color="DDE1E6"/>
        </w:pBdr>
      </w:pPr>
    </w:p>
    <w:p>
      <w:pPr>
        <w:spacing w:before="160"/>
      </w:pPr>
      <w:r>
        <w:rPr>
          <w:rFonts w:ascii="Calibri" w:hAnsi="Calibri" w:cs="Calibri" w:eastAsia="Calibri"/>
          <w:b/>
          <w:color w:val="154CE4"/>
          <w:sz w:val="19"/>
        </w:rPr>
        <w:t>agencedeveloppementweb.net</w:t>
      </w:r>
      <w:r>
        <w:rPr>
          <w:rFonts w:ascii="Calibri" w:hAnsi="Calibri" w:cs="Calibri" w:eastAsia="Calibri"/>
          <w:color w:val="5A6472"/>
          <w:sz w:val="19"/>
        </w:rPr>
        <w:t xml:space="preserve">  ·  Exemple de devis de site internet commenté, version 1.0. À utiliser avec la grille de comparaison Excel du même guide.</w:t>
      </w:r>
    </w:p>
    <w:sectPr w:rsidR="00FC693F" w:rsidRPr="0006063C" w:rsidSect="00034616">
      <w:headerReference w:type="default" r:id="rId9"/>
      <w:footerReference w:type="default" r:id="rId10"/>
      <w:footerReference w:type="first" r:id="rId11"/>
      <w:pgSz w:w="11906" w:h="16838"/>
      <w:pgMar w:top="1247" w:right="1134" w:bottom="1134" w:left="1134" w:header="680" w:footer="68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before="80"/>
      <w:pBdr>
        <w:bottom w:val="single" w:sz="2" w:space="1" w:color="FFFFFF"/>
      </w:pBdr>
    </w:pPr>
    <w:r>
      <w:rPr>
        <w:rFonts w:ascii="Calibri" w:hAnsi="Calibri" w:cs="Calibri" w:eastAsia="Calibri"/>
        <w:color w:val="5A6472"/>
        <w:sz w:val="17"/>
      </w:rPr>
      <w:t>Modèle fourni par agencedeveloppementweb.net</w:t>
    </w:r>
    <w:r>
      <w:rPr>
        <w:rFonts w:ascii="Calibri" w:hAnsi="Calibri" w:cs="Calibri" w:eastAsia="Calibri"/>
        <w:sz w:val="17"/>
      </w:rPr>
      <w:tab/>
    </w:r>
    <w:r>
      <w:rPr>
        <w:rFonts w:ascii="Calibri" w:hAnsi="Calibri" w:cs="Calibri" w:eastAsia="Calibri"/>
        <w:color w:val="5A6472"/>
        <w:sz w:val="17"/>
      </w:rPr>
      <w:t xml:space="preserve">Page </w:t>
    </w:r>
    <w:r>
      <w:fldChar w:fldCharType="begin"/>
    </w:r>
    <w:r>
      <w:instrText xml:space="preserve"> PAGE </w:instrText>
    </w:r>
    <w:r>
      <w:fldChar w:fldCharType="separate"/>
    </w:r>
    <w:r>
      <w:rPr>
        <w:rFonts w:ascii="Calibri" w:hAnsi="Calibri" w:cs="Calibri" w:eastAsia="Calibri"/>
        <w:b/>
        <w:color w:val="1F2933"/>
        <w:sz w:val="17"/>
      </w:rPr>
      <w:t>1</w:t>
    </w:r>
    <w:r>
      <w:fldChar w:fldCharType="end"/>
    </w:r>
    <w:r>
      <w:rPr>
        <w:rFonts w:ascii="Calibri" w:hAnsi="Calibri" w:cs="Calibri" w:eastAsia="Calibri"/>
        <w:color w:val="5A6472"/>
        <w:sz w:val="17"/>
      </w:rPr>
      <w:t xml:space="preserve"> sur </w:t>
    </w:r>
    <w:r>
      <w:fldChar w:fldCharType="begin"/>
    </w:r>
    <w:r>
      <w:instrText xml:space="preserve"> NUMPAGES </w:instrText>
    </w:r>
    <w:r>
      <w:fldChar w:fldCharType="separate"/>
    </w:r>
    <w:r>
      <w:rPr>
        <w:rFonts w:ascii="Calibri" w:hAnsi="Calibri" w:cs="Calibri" w:eastAsia="Calibri"/>
        <w:color w:val="5A6472"/>
        <w:sz w:val="17"/>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rFonts w:ascii="Calibri" w:hAnsi="Calibri" w:cs="Calibri" w:eastAsia="Calibri"/>
        <w:color w:val="7A828E"/>
        <w:sz w:val="17"/>
      </w:rPr>
      <w:t>agencedeveloppementweb.net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spacing w:after="80"/>
      <w:pBdr>
        <w:bottom w:val="single" w:sz="4" w:space="4" w:color="DDE1E6"/>
      </w:pBdr>
    </w:pPr>
    <w:r>
      <w:rPr>
        <w:rFonts w:ascii="Calibri" w:hAnsi="Calibri" w:cs="Calibri" w:eastAsia="Calibri"/>
        <w:caps/>
        <w:color w:val="5A6472"/>
        <w:sz w:val="17"/>
        <w:spacing w:val="20"/>
      </w:rPr>
      <w:t>Devis de site internet  ·  Exemple commenté</w:t>
    </w:r>
    <w:r>
      <w:rPr>
        <w:rFonts w:ascii="Calibri" w:hAnsi="Calibri" w:cs="Calibri" w:eastAsia="Calibri"/>
        <w:sz w:val="17"/>
      </w:rPr>
      <w:tab/>
    </w:r>
    <w:r>
      <w:rPr>
        <w:rFonts w:ascii="Calibri" w:hAnsi="Calibri" w:cs="Calibri" w:eastAsia="Calibri"/>
        <w:i/>
        <w:color w:val="7A828E"/>
        <w:sz w:val="17"/>
      </w:rPr>
      <w:t>[Nom du projet]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76" w:lineRule="auto"/>
    </w:pPr>
    <w:rPr>
      <w:rFonts w:ascii="Calibri" w:hAnsi="Calibri" w:cs="Calibri" w:eastAsia="Calibri"/>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154CE4"/>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1F293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contextualSpacing/>
    </w:pPr>
    <w:rPr>
      <w:rFonts w:ascii="Calibri" w:hAnsi="Calibri"/>
      <w:color w:val="1F29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tiquetteADW">
    <w:name w:val="Etiquette ADW"/>
    <w:basedOn w:val="Normal"/>
    <w:pPr>
      <w:keepNext/>
      <w:spacing w:before="240" w:after="60"/>
    </w:pPr>
    <w:rPr>
      <w:rFonts w:ascii="Calibri" w:hAnsi="Calibri"/>
      <w:b/>
      <w:caps/>
      <w:color w:val="5A6472"/>
      <w:sz w:val="16"/>
      <w:spacing w:val="30"/>
    </w:rPr>
  </w:style>
  <w:style w:type="paragraph" w:customStyle="1" w:styleId="NoteADW">
    <w:name w:val="Note ADW"/>
    <w:basedOn w:val="Normal"/>
    <w:pPr>
      <w:spacing w:before="80"/>
    </w:pPr>
    <w:rPr>
      <w:color w:val="5A647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Exemple de devis de site internet, commenté ligne à ligne</dc:title>
  <dc:subject>Devis fictif commenté, pour relire et comparer des devis de site internet</dc:subject>
  <dc:creator>agencedeveloppementweb.net</dc:creator>
  <cp:keywords/>
  <dc:description>Modèle libre d’usage fourni par agencedeveloppementweb.net.</dc:description>
  <cp:lastModifiedBy/>
  <cp:revision>1</cp:revision>
  <dcterms:created xsi:type="dcterms:W3CDTF">2013-12-23T23:15:00Z</dcterms:created>
  <dcterms:modified xsi:type="dcterms:W3CDTF">2013-12-23T23:15:00Z</dcterms:modified>
  <cp:category>Modèle</cp:category>
</cp:coreProperties>
</file>